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B6DD7" w14:textId="7163BA3A" w:rsidR="00D94B6C" w:rsidRDefault="002716A4" w:rsidP="00D94B6C">
      <w:pPr>
        <w:pStyle w:val="Title"/>
        <w:pBdr>
          <w:bottom w:val="none" w:sz="0" w:space="0" w:color="auto"/>
        </w:pBdr>
        <w:spacing w:after="240"/>
        <w:jc w:val="right"/>
        <w:rPr>
          <w:rFonts w:ascii="Arial" w:hAnsi="Arial" w:cs="Arial"/>
          <w:b/>
          <w:sz w:val="28"/>
          <w:szCs w:val="28"/>
          <w:lang w:val="en-US"/>
        </w:rPr>
      </w:pPr>
      <w:r>
        <w:rPr>
          <w:noProof/>
          <w:lang w:eastAsia="en-AU"/>
        </w:rPr>
        <w:drawing>
          <wp:anchor distT="0" distB="0" distL="114300" distR="114300" simplePos="0" relativeHeight="251658240" behindDoc="1" locked="0" layoutInCell="1" allowOverlap="1" wp14:anchorId="19EC48E5" wp14:editId="634398CF">
            <wp:simplePos x="0" y="0"/>
            <wp:positionH relativeFrom="margin">
              <wp:align>right</wp:align>
            </wp:positionH>
            <wp:positionV relativeFrom="paragraph">
              <wp:posOffset>0</wp:posOffset>
            </wp:positionV>
            <wp:extent cx="1744345" cy="699135"/>
            <wp:effectExtent l="0" t="0" r="8255" b="5715"/>
            <wp:wrapTight wrapText="bothSides">
              <wp:wrapPolygon edited="0">
                <wp:start x="0" y="0"/>
                <wp:lineTo x="0" y="21188"/>
                <wp:lineTo x="21466" y="21188"/>
                <wp:lineTo x="21466" y="0"/>
                <wp:lineTo x="0" y="0"/>
              </wp:wrapPolygon>
            </wp:wrapTight>
            <wp:docPr id="337" name="Picture 33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33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4345" cy="699135"/>
                    </a:xfrm>
                    <a:prstGeom prst="rect">
                      <a:avLst/>
                    </a:prstGeom>
                  </pic:spPr>
                </pic:pic>
              </a:graphicData>
            </a:graphic>
            <wp14:sizeRelH relativeFrom="margin">
              <wp14:pctWidth>0</wp14:pctWidth>
            </wp14:sizeRelH>
            <wp14:sizeRelV relativeFrom="margin">
              <wp14:pctHeight>0</wp14:pctHeight>
            </wp14:sizeRelV>
          </wp:anchor>
        </w:drawing>
      </w:r>
    </w:p>
    <w:p w14:paraId="5C71A300" w14:textId="77777777" w:rsidR="00D94B6C" w:rsidRPr="00045DC5" w:rsidRDefault="00D94B6C" w:rsidP="00D94B6C">
      <w:pPr>
        <w:pStyle w:val="Title"/>
        <w:pBdr>
          <w:bottom w:val="none" w:sz="0" w:space="0" w:color="auto"/>
        </w:pBdr>
        <w:spacing w:before="240" w:after="240"/>
        <w:rPr>
          <w:rFonts w:ascii="Arial" w:hAnsi="Arial" w:cs="Arial"/>
          <w:b/>
          <w:sz w:val="16"/>
          <w:szCs w:val="28"/>
          <w:lang w:val="en-US"/>
        </w:rPr>
      </w:pPr>
    </w:p>
    <w:p w14:paraId="0AE43F79" w14:textId="77777777" w:rsidR="002716A4" w:rsidRDefault="002716A4" w:rsidP="00D94B6C">
      <w:pPr>
        <w:pStyle w:val="Policy3"/>
        <w:rPr>
          <w:rFonts w:asciiTheme="minorHAnsi" w:hAnsiTheme="minorHAnsi"/>
        </w:rPr>
      </w:pPr>
      <w:bookmarkStart w:id="0" w:name="_Toc14942630"/>
    </w:p>
    <w:p w14:paraId="0E87254C" w14:textId="7FD78A5E" w:rsidR="00D94B6C" w:rsidRPr="00D94B6C" w:rsidRDefault="00D94B6C" w:rsidP="00D94B6C">
      <w:pPr>
        <w:pStyle w:val="Policy3"/>
        <w:rPr>
          <w:rFonts w:asciiTheme="minorHAnsi" w:hAnsiTheme="minorHAnsi"/>
        </w:rPr>
      </w:pPr>
      <w:r w:rsidRPr="00D94B6C">
        <w:rPr>
          <w:rFonts w:asciiTheme="minorHAnsi" w:hAnsiTheme="minorHAnsi"/>
        </w:rPr>
        <w:t>2.1.2</w:t>
      </w:r>
      <w:r w:rsidRPr="00D94B6C">
        <w:rPr>
          <w:rFonts w:asciiTheme="minorHAnsi" w:hAnsiTheme="minorHAnsi"/>
        </w:rPr>
        <w:tab/>
        <w:t>Investment of Surplus Funds</w:t>
      </w:r>
      <w:bookmarkEnd w:id="0"/>
      <w:r w:rsidRPr="00D94B6C">
        <w:rPr>
          <w:rFonts w:asciiTheme="minorHAnsi" w:hAnsiTheme="minorHAnsi"/>
        </w:rPr>
        <w:t xml:space="preserve"> </w:t>
      </w:r>
    </w:p>
    <w:tbl>
      <w:tblPr>
        <w:tblStyle w:val="TableGrid"/>
        <w:tblW w:w="0" w:type="auto"/>
        <w:tblLook w:val="04A0" w:firstRow="1" w:lastRow="0" w:firstColumn="1" w:lastColumn="0" w:noHBand="0" w:noVBand="1"/>
      </w:tblPr>
      <w:tblGrid>
        <w:gridCol w:w="3022"/>
        <w:gridCol w:w="5994"/>
      </w:tblGrid>
      <w:tr w:rsidR="00D94B6C" w:rsidRPr="007B69AA" w14:paraId="1D8F0F4F" w14:textId="77777777" w:rsidTr="003D0790">
        <w:tc>
          <w:tcPr>
            <w:tcW w:w="3085" w:type="dxa"/>
          </w:tcPr>
          <w:p w14:paraId="71AE9678" w14:textId="77777777" w:rsidR="00D94B6C" w:rsidRPr="007B69AA" w:rsidRDefault="00D94B6C" w:rsidP="00D94B6C">
            <w:pPr>
              <w:spacing w:after="0"/>
              <w:rPr>
                <w:rFonts w:cstheme="minorHAnsi"/>
                <w:b/>
                <w:lang w:val="en-US"/>
              </w:rPr>
            </w:pPr>
            <w:r w:rsidRPr="007B69AA">
              <w:rPr>
                <w:rFonts w:cstheme="minorHAnsi"/>
                <w:b/>
                <w:lang w:val="en-US"/>
              </w:rPr>
              <w:t>Type:</w:t>
            </w:r>
          </w:p>
        </w:tc>
        <w:tc>
          <w:tcPr>
            <w:tcW w:w="6157" w:type="dxa"/>
          </w:tcPr>
          <w:p w14:paraId="51CF6CD5" w14:textId="77777777" w:rsidR="00D94B6C" w:rsidRPr="007B69AA" w:rsidRDefault="00D94B6C" w:rsidP="00D94B6C">
            <w:pPr>
              <w:spacing w:after="0"/>
              <w:rPr>
                <w:rFonts w:cstheme="minorHAnsi"/>
                <w:lang w:val="en-US"/>
              </w:rPr>
            </w:pPr>
            <w:r>
              <w:rPr>
                <w:rFonts w:cstheme="minorHAnsi"/>
                <w:lang w:val="en-US"/>
              </w:rPr>
              <w:t>Corporate Services – Financial Management</w:t>
            </w:r>
          </w:p>
        </w:tc>
      </w:tr>
      <w:tr w:rsidR="00D94B6C" w:rsidRPr="007B69AA" w14:paraId="76CE5842" w14:textId="77777777" w:rsidTr="003D0790">
        <w:tc>
          <w:tcPr>
            <w:tcW w:w="3085" w:type="dxa"/>
          </w:tcPr>
          <w:p w14:paraId="144AFAB5" w14:textId="77777777" w:rsidR="00D94B6C" w:rsidRPr="007B69AA" w:rsidRDefault="00D94B6C" w:rsidP="00D94B6C">
            <w:pPr>
              <w:spacing w:after="0"/>
              <w:rPr>
                <w:rFonts w:cstheme="minorHAnsi"/>
                <w:b/>
                <w:lang w:val="en-US"/>
              </w:rPr>
            </w:pPr>
            <w:r w:rsidRPr="007B69AA">
              <w:rPr>
                <w:rFonts w:cstheme="minorHAnsi"/>
                <w:b/>
                <w:lang w:val="en-US"/>
              </w:rPr>
              <w:t>Legislation:</w:t>
            </w:r>
          </w:p>
        </w:tc>
        <w:tc>
          <w:tcPr>
            <w:tcW w:w="6157" w:type="dxa"/>
          </w:tcPr>
          <w:p w14:paraId="1B809D4A" w14:textId="77777777" w:rsidR="00D94B6C" w:rsidRPr="007B69AA" w:rsidRDefault="00D94B6C" w:rsidP="00D94B6C">
            <w:pPr>
              <w:spacing w:after="0"/>
              <w:rPr>
                <w:rFonts w:cstheme="minorHAnsi"/>
                <w:i/>
                <w:lang w:val="en-US"/>
              </w:rPr>
            </w:pPr>
            <w:r w:rsidRPr="007B69AA">
              <w:rPr>
                <w:rFonts w:cstheme="minorHAnsi"/>
                <w:lang w:val="en-US"/>
              </w:rPr>
              <w:t xml:space="preserve">Section 6.14 of the </w:t>
            </w:r>
            <w:r w:rsidRPr="007B69AA">
              <w:rPr>
                <w:rFonts w:cstheme="minorHAnsi"/>
                <w:i/>
                <w:lang w:val="en-US"/>
              </w:rPr>
              <w:t>Local Government Act 1995</w:t>
            </w:r>
            <w:r w:rsidRPr="007B69AA">
              <w:rPr>
                <w:rFonts w:cstheme="minorHAnsi"/>
                <w:i/>
                <w:lang w:val="en-US"/>
              </w:rPr>
              <w:br/>
            </w:r>
            <w:r w:rsidRPr="007B69AA">
              <w:rPr>
                <w:rFonts w:cstheme="minorHAnsi"/>
                <w:lang w:val="en-US"/>
              </w:rPr>
              <w:t xml:space="preserve">Part 111 Investments of the </w:t>
            </w:r>
            <w:r w:rsidRPr="007B69AA">
              <w:rPr>
                <w:rFonts w:cstheme="minorHAnsi"/>
                <w:i/>
                <w:lang w:val="en-US"/>
              </w:rPr>
              <w:t xml:space="preserve">Trustees Act 1962 </w:t>
            </w:r>
          </w:p>
          <w:p w14:paraId="301EE7D1" w14:textId="77777777" w:rsidR="00D94B6C" w:rsidRPr="007B69AA" w:rsidRDefault="00D94B6C" w:rsidP="00D94B6C">
            <w:pPr>
              <w:spacing w:after="0"/>
              <w:rPr>
                <w:rFonts w:cstheme="minorHAnsi"/>
                <w:i/>
                <w:lang w:val="en-US"/>
              </w:rPr>
            </w:pPr>
            <w:r w:rsidRPr="007B69AA">
              <w:rPr>
                <w:rFonts w:cstheme="minorHAnsi"/>
                <w:lang w:val="en-US"/>
              </w:rPr>
              <w:t xml:space="preserve">Regulation 19, 19C, 28 &amp; 49 of the </w:t>
            </w:r>
            <w:r w:rsidRPr="007B69AA">
              <w:rPr>
                <w:rFonts w:cstheme="minorHAnsi"/>
                <w:i/>
                <w:lang w:val="en-US"/>
              </w:rPr>
              <w:t>Local Government (Financial Management) Regulations 1996</w:t>
            </w:r>
          </w:p>
          <w:p w14:paraId="2CAFFECA" w14:textId="77777777" w:rsidR="00D94B6C" w:rsidRPr="007B69AA" w:rsidRDefault="00D94B6C" w:rsidP="00D94B6C">
            <w:pPr>
              <w:spacing w:after="0"/>
              <w:rPr>
                <w:rFonts w:cstheme="minorHAnsi"/>
                <w:lang w:val="en-US"/>
              </w:rPr>
            </w:pPr>
            <w:r w:rsidRPr="007B69AA">
              <w:rPr>
                <w:rFonts w:cstheme="minorHAnsi"/>
                <w:i/>
                <w:lang w:val="en-US"/>
              </w:rPr>
              <w:t>Australian Accounting Standards</w:t>
            </w:r>
          </w:p>
        </w:tc>
      </w:tr>
      <w:tr w:rsidR="00D94B6C" w:rsidRPr="007B69AA" w14:paraId="46B56A81" w14:textId="77777777" w:rsidTr="003D0790">
        <w:tc>
          <w:tcPr>
            <w:tcW w:w="3085" w:type="dxa"/>
          </w:tcPr>
          <w:p w14:paraId="651CC3C0" w14:textId="77777777" w:rsidR="00D94B6C" w:rsidRPr="007B69AA" w:rsidRDefault="00D94B6C" w:rsidP="00D94B6C">
            <w:pPr>
              <w:spacing w:after="0"/>
              <w:rPr>
                <w:rFonts w:cstheme="minorHAnsi"/>
                <w:b/>
                <w:lang w:val="en-US"/>
              </w:rPr>
            </w:pPr>
            <w:r w:rsidRPr="007B69AA">
              <w:rPr>
                <w:rFonts w:cstheme="minorHAnsi"/>
                <w:b/>
                <w:lang w:val="en-US"/>
              </w:rPr>
              <w:t>Delegation:</w:t>
            </w:r>
          </w:p>
        </w:tc>
        <w:tc>
          <w:tcPr>
            <w:tcW w:w="6157" w:type="dxa"/>
          </w:tcPr>
          <w:p w14:paraId="1B8E8C9F" w14:textId="77777777" w:rsidR="00D94B6C" w:rsidRPr="007B69AA" w:rsidRDefault="00D94B6C" w:rsidP="00D94B6C">
            <w:pPr>
              <w:spacing w:after="0"/>
              <w:rPr>
                <w:rFonts w:cstheme="minorHAnsi"/>
                <w:lang w:val="en-US"/>
              </w:rPr>
            </w:pPr>
            <w:r w:rsidRPr="007B69AA">
              <w:rPr>
                <w:rFonts w:cstheme="minorHAnsi"/>
                <w:lang w:val="en-US"/>
              </w:rPr>
              <w:t>DA6  Investment of Funds</w:t>
            </w:r>
          </w:p>
        </w:tc>
      </w:tr>
      <w:tr w:rsidR="00D94B6C" w:rsidRPr="007B69AA" w14:paraId="54713775" w14:textId="77777777" w:rsidTr="003D0790">
        <w:tc>
          <w:tcPr>
            <w:tcW w:w="3085" w:type="dxa"/>
          </w:tcPr>
          <w:p w14:paraId="38C3C04A" w14:textId="77777777" w:rsidR="00D94B6C" w:rsidRPr="007B69AA" w:rsidRDefault="00D94B6C" w:rsidP="00D94B6C">
            <w:pPr>
              <w:spacing w:after="0"/>
              <w:rPr>
                <w:rFonts w:cstheme="minorHAnsi"/>
                <w:b/>
                <w:lang w:val="en-US"/>
              </w:rPr>
            </w:pPr>
            <w:r w:rsidRPr="007B69AA">
              <w:rPr>
                <w:rFonts w:cstheme="minorHAnsi"/>
                <w:b/>
                <w:lang w:val="en-US"/>
              </w:rPr>
              <w:t>Other Related Document:</w:t>
            </w:r>
          </w:p>
        </w:tc>
        <w:tc>
          <w:tcPr>
            <w:tcW w:w="6157" w:type="dxa"/>
          </w:tcPr>
          <w:p w14:paraId="48B4A02A" w14:textId="77777777" w:rsidR="00D94B6C" w:rsidRPr="007B69AA" w:rsidRDefault="00D94B6C" w:rsidP="00D94B6C">
            <w:pPr>
              <w:spacing w:after="0"/>
              <w:rPr>
                <w:rFonts w:cstheme="minorHAnsi"/>
                <w:lang w:val="en-US"/>
              </w:rPr>
            </w:pPr>
          </w:p>
        </w:tc>
      </w:tr>
    </w:tbl>
    <w:p w14:paraId="1669794B" w14:textId="77777777" w:rsidR="00D94B6C" w:rsidRPr="00862911" w:rsidRDefault="00D94B6C" w:rsidP="00D94B6C">
      <w:pPr>
        <w:spacing w:before="240" w:after="0"/>
        <w:rPr>
          <w:b/>
          <w:sz w:val="28"/>
          <w:szCs w:val="28"/>
          <w:lang w:val="en-US"/>
        </w:rPr>
      </w:pPr>
      <w:r w:rsidRPr="00862911">
        <w:rPr>
          <w:b/>
          <w:sz w:val="28"/>
          <w:szCs w:val="28"/>
          <w:lang w:val="en-US"/>
        </w:rPr>
        <w:t>Objectives</w:t>
      </w:r>
    </w:p>
    <w:p w14:paraId="675EFA66" w14:textId="77777777" w:rsidR="00D94B6C" w:rsidRPr="007B69AA" w:rsidRDefault="00D94B6C" w:rsidP="00D94B6C">
      <w:pPr>
        <w:spacing w:line="240" w:lineRule="auto"/>
        <w:jc w:val="both"/>
        <w:rPr>
          <w:rFonts w:cstheme="minorHAnsi"/>
          <w:lang w:val="en-GB"/>
        </w:rPr>
      </w:pPr>
      <w:r w:rsidRPr="007B69AA">
        <w:rPr>
          <w:rFonts w:cstheme="minorHAnsi"/>
          <w:lang w:val="en-GB"/>
        </w:rPr>
        <w:t>This policy provides guidelines on how to invest the local government’s surplus funds, with consideration of risk and at the most favourable rate of interest available to it at the time, while ensuring that its liquidity requirements are being met.</w:t>
      </w:r>
    </w:p>
    <w:p w14:paraId="41B9182F" w14:textId="77777777" w:rsidR="00D94B6C" w:rsidRPr="007B69AA" w:rsidRDefault="00D94B6C" w:rsidP="00D94B6C">
      <w:pPr>
        <w:spacing w:after="60"/>
        <w:jc w:val="both"/>
        <w:rPr>
          <w:rFonts w:cstheme="minorHAnsi"/>
          <w:lang w:val="en-GB"/>
        </w:rPr>
      </w:pPr>
      <w:r w:rsidRPr="007B69AA">
        <w:rPr>
          <w:rFonts w:cstheme="minorHAnsi"/>
          <w:lang w:val="en-GB"/>
        </w:rPr>
        <w:t xml:space="preserve">While exercising the power to invest, consideration is to be given in preservation of capital, liquidity and the return of investment; </w:t>
      </w:r>
    </w:p>
    <w:p w14:paraId="74E1A9F3" w14:textId="77777777" w:rsidR="00D94B6C" w:rsidRPr="007B69AA" w:rsidRDefault="00D94B6C" w:rsidP="00D94B6C">
      <w:pPr>
        <w:pStyle w:val="BodyText"/>
        <w:numPr>
          <w:ilvl w:val="0"/>
          <w:numId w:val="1"/>
        </w:numPr>
        <w:tabs>
          <w:tab w:val="clear" w:pos="1440"/>
        </w:tabs>
        <w:spacing w:after="60"/>
        <w:ind w:left="426" w:hanging="426"/>
        <w:jc w:val="both"/>
        <w:rPr>
          <w:rFonts w:asciiTheme="minorHAnsi" w:hAnsiTheme="minorHAnsi" w:cstheme="minorHAnsi"/>
          <w:szCs w:val="22"/>
        </w:rPr>
      </w:pPr>
      <w:r w:rsidRPr="007B69AA">
        <w:rPr>
          <w:rFonts w:asciiTheme="minorHAnsi" w:hAnsiTheme="minorHAnsi" w:cstheme="minorHAnsi"/>
          <w:szCs w:val="22"/>
        </w:rPr>
        <w:t xml:space="preserve">Preservation of capital is the principal objective of the investment portfolio. Investments are to be performed in a manner that seeks to ensure security and safeguarding the investment portfolio. </w:t>
      </w:r>
    </w:p>
    <w:p w14:paraId="1041B82E" w14:textId="77777777" w:rsidR="00D94B6C" w:rsidRPr="007B69AA" w:rsidRDefault="00D94B6C" w:rsidP="00D94B6C">
      <w:pPr>
        <w:pStyle w:val="BodyText"/>
        <w:numPr>
          <w:ilvl w:val="0"/>
          <w:numId w:val="1"/>
        </w:numPr>
        <w:tabs>
          <w:tab w:val="clear" w:pos="1440"/>
        </w:tabs>
        <w:spacing w:after="60"/>
        <w:ind w:left="426" w:hanging="426"/>
        <w:jc w:val="both"/>
        <w:rPr>
          <w:rFonts w:asciiTheme="minorHAnsi" w:hAnsiTheme="minorHAnsi" w:cstheme="minorHAnsi"/>
          <w:szCs w:val="22"/>
        </w:rPr>
      </w:pPr>
      <w:r w:rsidRPr="007B69AA">
        <w:rPr>
          <w:rFonts w:asciiTheme="minorHAnsi" w:hAnsiTheme="minorHAnsi" w:cstheme="minorHAnsi"/>
          <w:szCs w:val="22"/>
        </w:rPr>
        <w:t>The investment portfolio will ensure there is sufficient liquidity to meet all reasonably anticipated cash flow requirements, as an when they fall due, without incurring significant costs due to the unanticipated redemption of an investment.</w:t>
      </w:r>
    </w:p>
    <w:p w14:paraId="44437B93" w14:textId="77777777" w:rsidR="00D94B6C" w:rsidRPr="007B69AA" w:rsidRDefault="00D94B6C" w:rsidP="00D94B6C">
      <w:pPr>
        <w:pStyle w:val="BodyText"/>
        <w:numPr>
          <w:ilvl w:val="0"/>
          <w:numId w:val="1"/>
        </w:numPr>
        <w:tabs>
          <w:tab w:val="clear" w:pos="1440"/>
        </w:tabs>
        <w:ind w:left="426" w:hanging="426"/>
        <w:jc w:val="both"/>
        <w:rPr>
          <w:rFonts w:asciiTheme="minorHAnsi" w:hAnsiTheme="minorHAnsi" w:cstheme="minorHAnsi"/>
          <w:b/>
          <w:szCs w:val="22"/>
          <w:lang w:val="en-GB"/>
        </w:rPr>
      </w:pPr>
      <w:r w:rsidRPr="007B69AA">
        <w:rPr>
          <w:rFonts w:asciiTheme="minorHAnsi" w:hAnsiTheme="minorHAnsi" w:cstheme="minorHAnsi"/>
          <w:szCs w:val="22"/>
        </w:rPr>
        <w:t xml:space="preserve">The investment is expected to achieve a predetermined market average rate of return that takes into account the Council’s risk tolerance. Any additional return target set by Council will also consider the risk limitation and prudent investment principles. </w:t>
      </w:r>
    </w:p>
    <w:p w14:paraId="6BE89F73" w14:textId="77777777" w:rsidR="00D94B6C" w:rsidRPr="00862911" w:rsidRDefault="00D94B6C" w:rsidP="00D94B6C">
      <w:pPr>
        <w:pStyle w:val="BodyText"/>
        <w:spacing w:after="0"/>
        <w:ind w:left="0"/>
        <w:jc w:val="both"/>
        <w:rPr>
          <w:rFonts w:asciiTheme="minorHAnsi" w:hAnsiTheme="minorHAnsi" w:cstheme="minorHAnsi"/>
          <w:b/>
          <w:szCs w:val="22"/>
          <w:lang w:val="en-GB"/>
        </w:rPr>
      </w:pPr>
      <w:r w:rsidRPr="00862911">
        <w:rPr>
          <w:rFonts w:asciiTheme="minorHAnsi" w:hAnsiTheme="minorHAnsi" w:cstheme="minorHAnsi"/>
          <w:b/>
          <w:szCs w:val="22"/>
          <w:lang w:val="en-GB"/>
        </w:rPr>
        <w:t>Fossil Fuel Free Investments</w:t>
      </w:r>
    </w:p>
    <w:p w14:paraId="5639F1F1" w14:textId="77777777" w:rsidR="00D94B6C" w:rsidRPr="007B69AA" w:rsidRDefault="00D94B6C" w:rsidP="00D94B6C">
      <w:pPr>
        <w:pStyle w:val="BodyText"/>
        <w:ind w:left="0"/>
        <w:jc w:val="both"/>
        <w:rPr>
          <w:rFonts w:asciiTheme="minorHAnsi" w:hAnsiTheme="minorHAnsi" w:cstheme="minorHAnsi"/>
          <w:szCs w:val="22"/>
          <w:lang w:val="en-GB"/>
        </w:rPr>
      </w:pPr>
      <w:r w:rsidRPr="007B69AA">
        <w:rPr>
          <w:rFonts w:asciiTheme="minorHAnsi" w:hAnsiTheme="minorHAnsi" w:cstheme="minorHAnsi"/>
          <w:szCs w:val="22"/>
          <w:lang w:val="en-GB"/>
        </w:rPr>
        <w:t xml:space="preserve">Prior to placing investments, preference will be given to competitive quotations from financial institutions that are deemed not to invest in or finance the </w:t>
      </w:r>
      <w:r w:rsidRPr="007B69AA">
        <w:rPr>
          <w:rFonts w:asciiTheme="minorHAnsi" w:hAnsiTheme="minorHAnsi" w:cstheme="minorHAnsi"/>
          <w:b/>
          <w:szCs w:val="22"/>
          <w:u w:val="single"/>
          <w:lang w:val="en-GB"/>
        </w:rPr>
        <w:t>fossil fuel industry</w:t>
      </w:r>
      <w:r w:rsidRPr="007B69AA">
        <w:rPr>
          <w:rFonts w:asciiTheme="minorHAnsi" w:hAnsiTheme="minorHAnsi" w:cstheme="minorHAnsi"/>
          <w:b/>
          <w:szCs w:val="22"/>
          <w:lang w:val="en-GB"/>
        </w:rPr>
        <w:t xml:space="preserve"> </w:t>
      </w:r>
      <w:r w:rsidRPr="007B69AA">
        <w:rPr>
          <w:rFonts w:asciiTheme="minorHAnsi" w:hAnsiTheme="minorHAnsi" w:cstheme="minorHAnsi"/>
          <w:szCs w:val="22"/>
          <w:lang w:val="en-GB"/>
        </w:rPr>
        <w:t>where</w:t>
      </w:r>
      <w:r>
        <w:rPr>
          <w:rFonts w:asciiTheme="minorHAnsi" w:hAnsiTheme="minorHAnsi" w:cstheme="minorHAnsi"/>
          <w:szCs w:val="22"/>
          <w:lang w:val="en-GB"/>
        </w:rPr>
        <w:t>:</w:t>
      </w:r>
    </w:p>
    <w:p w14:paraId="08038B70" w14:textId="77777777" w:rsidR="00D94B6C" w:rsidRPr="007B69AA" w:rsidRDefault="00D94B6C" w:rsidP="00D94B6C">
      <w:pPr>
        <w:pStyle w:val="BodyText"/>
        <w:ind w:left="567" w:hanging="567"/>
        <w:jc w:val="both"/>
        <w:rPr>
          <w:rFonts w:asciiTheme="minorHAnsi" w:hAnsiTheme="minorHAnsi" w:cstheme="minorHAnsi"/>
          <w:szCs w:val="22"/>
          <w:lang w:val="en-GB"/>
        </w:rPr>
      </w:pPr>
      <w:r w:rsidRPr="007B69AA">
        <w:rPr>
          <w:rFonts w:asciiTheme="minorHAnsi" w:hAnsiTheme="minorHAnsi" w:cstheme="minorHAnsi"/>
          <w:szCs w:val="22"/>
          <w:lang w:val="en-GB"/>
        </w:rPr>
        <w:t xml:space="preserve">a) </w:t>
      </w:r>
      <w:r>
        <w:rPr>
          <w:rFonts w:asciiTheme="minorHAnsi" w:hAnsiTheme="minorHAnsi" w:cstheme="minorHAnsi"/>
          <w:szCs w:val="22"/>
          <w:lang w:val="en-GB"/>
        </w:rPr>
        <w:tab/>
      </w:r>
      <w:r w:rsidRPr="007B69AA">
        <w:rPr>
          <w:rFonts w:asciiTheme="minorHAnsi" w:hAnsiTheme="minorHAnsi" w:cstheme="minorHAnsi"/>
          <w:szCs w:val="22"/>
          <w:lang w:val="en-GB"/>
        </w:rPr>
        <w:t xml:space="preserve">the investment is compliant with Council’s investment policy with regards to risk management guidelines, and </w:t>
      </w:r>
    </w:p>
    <w:p w14:paraId="0B08F5D9" w14:textId="4CC5731B" w:rsidR="00D94B6C" w:rsidRDefault="00D94B6C" w:rsidP="00D94B6C">
      <w:pPr>
        <w:pStyle w:val="BodyText"/>
        <w:ind w:left="567" w:hanging="567"/>
        <w:jc w:val="both"/>
        <w:rPr>
          <w:rFonts w:asciiTheme="minorHAnsi" w:hAnsiTheme="minorHAnsi" w:cstheme="minorHAnsi"/>
          <w:szCs w:val="22"/>
          <w:lang w:val="en-GB"/>
        </w:rPr>
      </w:pPr>
      <w:r w:rsidRPr="007B69AA">
        <w:rPr>
          <w:rFonts w:asciiTheme="minorHAnsi" w:hAnsiTheme="minorHAnsi" w:cstheme="minorHAnsi"/>
          <w:szCs w:val="22"/>
          <w:lang w:val="en-GB"/>
        </w:rPr>
        <w:t xml:space="preserve">b) </w:t>
      </w:r>
      <w:r>
        <w:rPr>
          <w:rFonts w:asciiTheme="minorHAnsi" w:hAnsiTheme="minorHAnsi" w:cstheme="minorHAnsi"/>
          <w:szCs w:val="22"/>
          <w:lang w:val="en-GB"/>
        </w:rPr>
        <w:tab/>
      </w:r>
      <w:r w:rsidR="00C35BB1">
        <w:rPr>
          <w:rFonts w:asciiTheme="minorHAnsi" w:hAnsiTheme="minorHAnsi" w:cstheme="minorHAnsi"/>
          <w:szCs w:val="22"/>
          <w:lang w:val="en-GB"/>
        </w:rPr>
        <w:t xml:space="preserve">a price preference </w:t>
      </w:r>
      <w:r w:rsidR="00C35BB1" w:rsidRPr="0001763A">
        <w:rPr>
          <w:rFonts w:asciiTheme="minorHAnsi" w:hAnsiTheme="minorHAnsi" w:cstheme="minorHAnsi"/>
          <w:szCs w:val="22"/>
          <w:lang w:val="en-GB"/>
        </w:rPr>
        <w:t>of 0.1% compared</w:t>
      </w:r>
      <w:r w:rsidR="00C35BB1">
        <w:rPr>
          <w:rFonts w:asciiTheme="minorHAnsi" w:hAnsiTheme="minorHAnsi" w:cstheme="minorHAnsi"/>
          <w:szCs w:val="22"/>
          <w:lang w:val="en-GB"/>
        </w:rPr>
        <w:t xml:space="preserve"> to the most favourable investment quotation is to be provided to financial institutions that are deemed not to invest in or finance the fossil fuel industry.</w:t>
      </w:r>
    </w:p>
    <w:p w14:paraId="4DDDAB13" w14:textId="423BF983" w:rsidR="00A75654" w:rsidRDefault="00A75654" w:rsidP="00D94B6C">
      <w:pPr>
        <w:pStyle w:val="BodyText"/>
        <w:ind w:left="567" w:hanging="567"/>
        <w:jc w:val="both"/>
        <w:rPr>
          <w:rFonts w:asciiTheme="minorHAnsi" w:hAnsiTheme="minorHAnsi" w:cstheme="minorHAnsi"/>
          <w:szCs w:val="22"/>
          <w:lang w:val="en-GB"/>
        </w:rPr>
      </w:pPr>
      <w:r>
        <w:rPr>
          <w:rFonts w:asciiTheme="minorHAnsi" w:hAnsiTheme="minorHAnsi" w:cstheme="minorHAnsi"/>
          <w:szCs w:val="22"/>
          <w:lang w:val="en-GB"/>
        </w:rPr>
        <w:t>Examples of Fossil Fuel Free Investments include, but are not limited to the following:</w:t>
      </w:r>
    </w:p>
    <w:p w14:paraId="11DFFF7E" w14:textId="44A396FC" w:rsidR="00A75654" w:rsidRDefault="00A75654" w:rsidP="00A75654">
      <w:pPr>
        <w:pStyle w:val="BodyText"/>
        <w:numPr>
          <w:ilvl w:val="0"/>
          <w:numId w:val="4"/>
        </w:numPr>
        <w:ind w:left="567" w:hanging="567"/>
        <w:jc w:val="both"/>
        <w:rPr>
          <w:rFonts w:asciiTheme="minorHAnsi" w:hAnsiTheme="minorHAnsi" w:cstheme="minorHAnsi"/>
          <w:szCs w:val="22"/>
          <w:lang w:val="en-GB"/>
        </w:rPr>
      </w:pPr>
      <w:r>
        <w:rPr>
          <w:rFonts w:asciiTheme="minorHAnsi" w:hAnsiTheme="minorHAnsi" w:cstheme="minorHAnsi"/>
          <w:szCs w:val="22"/>
          <w:lang w:val="en-GB"/>
        </w:rPr>
        <w:t>Green Term Deposits – These term deposits mobilise capital towards assets, also known as Green Eligible Assets, that facilitate and support the transition to a low carbon economy – such as renewable energy products, green commercial buildings, green residential buildings, energy efficiency (low carbon initiatives), clean transportation and sustainable water and wastewater management and pollution prevention and control.</w:t>
      </w:r>
    </w:p>
    <w:p w14:paraId="52E42859" w14:textId="56AEAE29" w:rsidR="00A75654" w:rsidRDefault="00A75654" w:rsidP="00A75654">
      <w:pPr>
        <w:pStyle w:val="BodyText"/>
        <w:numPr>
          <w:ilvl w:val="0"/>
          <w:numId w:val="4"/>
        </w:numPr>
        <w:ind w:left="567" w:hanging="567"/>
        <w:jc w:val="both"/>
        <w:rPr>
          <w:rFonts w:asciiTheme="minorHAnsi" w:hAnsiTheme="minorHAnsi" w:cstheme="minorHAnsi"/>
          <w:szCs w:val="22"/>
          <w:lang w:val="en-GB"/>
        </w:rPr>
      </w:pPr>
      <w:r>
        <w:rPr>
          <w:rFonts w:asciiTheme="minorHAnsi" w:hAnsiTheme="minorHAnsi" w:cstheme="minorHAnsi"/>
          <w:szCs w:val="22"/>
          <w:lang w:val="en-GB"/>
        </w:rPr>
        <w:lastRenderedPageBreak/>
        <w:t>Environmental, Social &amp; Governance (ESG) Term Deposits – Funds invested with this line of term deposits will be allocated towards Sustainability Linked Loans (SLLs). SLLs incentivise the borrower’s achievement against predetermined sustainability performance objectives.</w:t>
      </w:r>
    </w:p>
    <w:p w14:paraId="701B0D9D" w14:textId="09349CC0" w:rsidR="00171BF8" w:rsidRDefault="00171BF8" w:rsidP="00A75654">
      <w:pPr>
        <w:pStyle w:val="BodyText"/>
        <w:numPr>
          <w:ilvl w:val="0"/>
          <w:numId w:val="4"/>
        </w:numPr>
        <w:ind w:left="567" w:hanging="567"/>
        <w:jc w:val="both"/>
        <w:rPr>
          <w:rFonts w:asciiTheme="minorHAnsi" w:hAnsiTheme="minorHAnsi" w:cstheme="minorHAnsi"/>
          <w:szCs w:val="22"/>
          <w:lang w:val="en-GB"/>
        </w:rPr>
      </w:pPr>
      <w:r>
        <w:rPr>
          <w:rFonts w:asciiTheme="minorHAnsi" w:hAnsiTheme="minorHAnsi" w:cstheme="minorHAnsi"/>
          <w:szCs w:val="22"/>
          <w:lang w:val="en-GB"/>
        </w:rPr>
        <w:t xml:space="preserve">Availability of fossil fuel </w:t>
      </w:r>
      <w:r w:rsidR="007B1119">
        <w:rPr>
          <w:rFonts w:asciiTheme="minorHAnsi" w:hAnsiTheme="minorHAnsi" w:cstheme="minorHAnsi"/>
          <w:szCs w:val="22"/>
          <w:lang w:val="en-GB"/>
        </w:rPr>
        <w:t xml:space="preserve">free </w:t>
      </w:r>
      <w:r>
        <w:rPr>
          <w:rFonts w:asciiTheme="minorHAnsi" w:hAnsiTheme="minorHAnsi" w:cstheme="minorHAnsi"/>
          <w:szCs w:val="22"/>
          <w:lang w:val="en-GB"/>
        </w:rPr>
        <w:t>investment products will be reviewed</w:t>
      </w:r>
      <w:r w:rsidR="0000361B">
        <w:rPr>
          <w:rFonts w:asciiTheme="minorHAnsi" w:hAnsiTheme="minorHAnsi" w:cstheme="minorHAnsi"/>
          <w:szCs w:val="22"/>
          <w:lang w:val="en-GB"/>
        </w:rPr>
        <w:t xml:space="preserve"> </w:t>
      </w:r>
      <w:r w:rsidR="00A97DD8">
        <w:rPr>
          <w:rFonts w:asciiTheme="minorHAnsi" w:hAnsiTheme="minorHAnsi" w:cstheme="minorHAnsi"/>
          <w:szCs w:val="22"/>
          <w:lang w:val="en-GB"/>
        </w:rPr>
        <w:t xml:space="preserve">at least on an annual basis. </w:t>
      </w:r>
    </w:p>
    <w:p w14:paraId="71CC351C" w14:textId="77777777" w:rsidR="00D94B6C" w:rsidRPr="00862911" w:rsidRDefault="00D94B6C" w:rsidP="00D94B6C">
      <w:pPr>
        <w:spacing w:before="200" w:after="0"/>
        <w:rPr>
          <w:b/>
          <w:sz w:val="28"/>
          <w:szCs w:val="28"/>
          <w:lang w:val="en-US"/>
        </w:rPr>
      </w:pPr>
      <w:r w:rsidRPr="00862911">
        <w:rPr>
          <w:b/>
          <w:sz w:val="28"/>
          <w:szCs w:val="28"/>
          <w:lang w:val="en-US"/>
        </w:rPr>
        <w:t>Policy Scope</w:t>
      </w:r>
    </w:p>
    <w:p w14:paraId="421E649D" w14:textId="77777777" w:rsidR="00D94B6C" w:rsidRPr="007B69AA" w:rsidRDefault="00D94B6C" w:rsidP="00D94B6C">
      <w:pPr>
        <w:pStyle w:val="BodyText"/>
        <w:spacing w:after="200"/>
        <w:ind w:left="0"/>
        <w:jc w:val="both"/>
        <w:rPr>
          <w:rFonts w:asciiTheme="minorHAnsi" w:hAnsiTheme="minorHAnsi" w:cstheme="minorHAnsi"/>
          <w:szCs w:val="22"/>
        </w:rPr>
      </w:pPr>
      <w:r w:rsidRPr="007B69AA">
        <w:rPr>
          <w:rFonts w:asciiTheme="minorHAnsi" w:hAnsiTheme="minorHAnsi" w:cstheme="minorHAnsi"/>
          <w:szCs w:val="22"/>
        </w:rPr>
        <w:t>Officers shall refrain from personal activities that would conflict with the proper execution and management of Council’s investment portfolio. This policy requires officers to disclose any conflict of interest to the CEO.</w:t>
      </w:r>
    </w:p>
    <w:p w14:paraId="2306B52D" w14:textId="77777777" w:rsidR="00D94B6C" w:rsidRPr="007B69AA" w:rsidRDefault="00D94B6C" w:rsidP="00D94B6C">
      <w:pPr>
        <w:pStyle w:val="BodyText"/>
        <w:spacing w:after="60"/>
        <w:ind w:left="0"/>
        <w:jc w:val="both"/>
        <w:rPr>
          <w:rFonts w:asciiTheme="minorHAnsi" w:hAnsiTheme="minorHAnsi" w:cstheme="minorHAnsi"/>
          <w:szCs w:val="22"/>
        </w:rPr>
      </w:pPr>
      <w:r w:rsidRPr="007B69AA">
        <w:rPr>
          <w:rFonts w:asciiTheme="minorHAnsi" w:hAnsiTheme="minorHAnsi" w:cstheme="minorHAnsi"/>
          <w:szCs w:val="22"/>
        </w:rPr>
        <w:t>This investment policy prohibits any investment carried out for speculative purposes including:</w:t>
      </w:r>
    </w:p>
    <w:p w14:paraId="53614687" w14:textId="77777777" w:rsidR="00D94B6C" w:rsidRPr="007B69AA" w:rsidRDefault="00D94B6C" w:rsidP="00D94B6C">
      <w:pPr>
        <w:pStyle w:val="BodyText"/>
        <w:numPr>
          <w:ilvl w:val="0"/>
          <w:numId w:val="2"/>
        </w:numPr>
        <w:spacing w:after="60"/>
        <w:ind w:left="426" w:hanging="426"/>
        <w:jc w:val="both"/>
        <w:rPr>
          <w:rFonts w:asciiTheme="minorHAnsi" w:hAnsiTheme="minorHAnsi" w:cstheme="minorHAnsi"/>
          <w:szCs w:val="22"/>
        </w:rPr>
      </w:pPr>
      <w:r w:rsidRPr="007B69AA">
        <w:rPr>
          <w:rFonts w:asciiTheme="minorHAnsi" w:hAnsiTheme="minorHAnsi" w:cstheme="minorHAnsi"/>
          <w:szCs w:val="22"/>
        </w:rPr>
        <w:t xml:space="preserve">Deposits with an institution that is not an </w:t>
      </w:r>
      <w:proofErr w:type="spellStart"/>
      <w:r w:rsidRPr="007B69AA">
        <w:rPr>
          <w:rFonts w:asciiTheme="minorHAnsi" w:hAnsiTheme="minorHAnsi" w:cstheme="minorHAnsi"/>
          <w:szCs w:val="22"/>
        </w:rPr>
        <w:t>authorised</w:t>
      </w:r>
      <w:proofErr w:type="spellEnd"/>
      <w:r w:rsidRPr="007B69AA">
        <w:rPr>
          <w:rFonts w:asciiTheme="minorHAnsi" w:hAnsiTheme="minorHAnsi" w:cstheme="minorHAnsi"/>
          <w:szCs w:val="22"/>
        </w:rPr>
        <w:t xml:space="preserve"> deposit-taking institution as defined in the </w:t>
      </w:r>
      <w:r w:rsidRPr="007B69AA">
        <w:rPr>
          <w:rFonts w:asciiTheme="minorHAnsi" w:hAnsiTheme="minorHAnsi" w:cstheme="minorHAnsi"/>
          <w:i/>
          <w:szCs w:val="22"/>
        </w:rPr>
        <w:t>Banking Act 1959</w:t>
      </w:r>
      <w:r w:rsidRPr="007B69AA">
        <w:rPr>
          <w:rFonts w:asciiTheme="minorHAnsi" w:hAnsiTheme="minorHAnsi" w:cstheme="minorHAnsi"/>
          <w:szCs w:val="22"/>
        </w:rPr>
        <w:t xml:space="preserve"> (Commonwealth) Section 5;</w:t>
      </w:r>
    </w:p>
    <w:p w14:paraId="55DB984F" w14:textId="77777777" w:rsidR="00D94B6C" w:rsidRPr="007B69AA" w:rsidRDefault="00D94B6C" w:rsidP="00D94B6C">
      <w:pPr>
        <w:pStyle w:val="BodyText"/>
        <w:numPr>
          <w:ilvl w:val="0"/>
          <w:numId w:val="2"/>
        </w:numPr>
        <w:spacing w:after="60"/>
        <w:ind w:left="426" w:hanging="426"/>
        <w:jc w:val="both"/>
        <w:rPr>
          <w:rFonts w:asciiTheme="minorHAnsi" w:hAnsiTheme="minorHAnsi" w:cstheme="minorHAnsi"/>
          <w:szCs w:val="22"/>
        </w:rPr>
      </w:pPr>
      <w:r w:rsidRPr="007B69AA">
        <w:rPr>
          <w:rFonts w:asciiTheme="minorHAnsi" w:hAnsiTheme="minorHAnsi" w:cstheme="minorHAnsi"/>
          <w:szCs w:val="22"/>
        </w:rPr>
        <w:t>The use of leveraging (borrowing to invest) of an investment;</w:t>
      </w:r>
    </w:p>
    <w:p w14:paraId="646F04C9" w14:textId="77777777" w:rsidR="00D94B6C" w:rsidRPr="007B69AA" w:rsidRDefault="00D94B6C" w:rsidP="00D94B6C">
      <w:pPr>
        <w:pStyle w:val="BodyText"/>
        <w:numPr>
          <w:ilvl w:val="0"/>
          <w:numId w:val="2"/>
        </w:numPr>
        <w:spacing w:after="60"/>
        <w:ind w:left="426" w:hanging="426"/>
        <w:jc w:val="both"/>
        <w:rPr>
          <w:rFonts w:asciiTheme="minorHAnsi" w:hAnsiTheme="minorHAnsi" w:cstheme="minorHAnsi"/>
          <w:szCs w:val="22"/>
        </w:rPr>
      </w:pPr>
      <w:r w:rsidRPr="007B69AA">
        <w:rPr>
          <w:rFonts w:asciiTheme="minorHAnsi" w:hAnsiTheme="minorHAnsi" w:cstheme="minorHAnsi"/>
          <w:szCs w:val="22"/>
        </w:rPr>
        <w:t xml:space="preserve">A state treasury that is not the Western Australian Treasury Corporation established by the </w:t>
      </w:r>
      <w:r w:rsidRPr="007B69AA">
        <w:rPr>
          <w:rFonts w:asciiTheme="minorHAnsi" w:hAnsiTheme="minorHAnsi" w:cstheme="minorHAnsi"/>
          <w:i/>
          <w:szCs w:val="22"/>
        </w:rPr>
        <w:t>Western Australian Treasury Corporation Act 1986;</w:t>
      </w:r>
    </w:p>
    <w:p w14:paraId="1217770D" w14:textId="77777777" w:rsidR="00D94B6C" w:rsidRPr="007B69AA" w:rsidRDefault="00D94B6C" w:rsidP="00D94B6C">
      <w:pPr>
        <w:pStyle w:val="BodyText"/>
        <w:numPr>
          <w:ilvl w:val="0"/>
          <w:numId w:val="2"/>
        </w:numPr>
        <w:spacing w:after="60"/>
        <w:ind w:left="426" w:hanging="426"/>
        <w:jc w:val="both"/>
        <w:rPr>
          <w:rFonts w:asciiTheme="minorHAnsi" w:hAnsiTheme="minorHAnsi" w:cstheme="minorHAnsi"/>
          <w:szCs w:val="22"/>
        </w:rPr>
      </w:pPr>
      <w:r w:rsidRPr="007B69AA">
        <w:rPr>
          <w:rFonts w:asciiTheme="minorHAnsi" w:hAnsiTheme="minorHAnsi" w:cstheme="minorHAnsi"/>
          <w:szCs w:val="22"/>
        </w:rPr>
        <w:t xml:space="preserve">Term deposits for a fixed term of more than 12 months; </w:t>
      </w:r>
    </w:p>
    <w:p w14:paraId="293EF402" w14:textId="77777777" w:rsidR="00D94B6C" w:rsidRPr="007B69AA" w:rsidRDefault="00D94B6C" w:rsidP="00D94B6C">
      <w:pPr>
        <w:pStyle w:val="BodyText"/>
        <w:numPr>
          <w:ilvl w:val="0"/>
          <w:numId w:val="2"/>
        </w:numPr>
        <w:spacing w:after="60"/>
        <w:ind w:left="426" w:hanging="426"/>
        <w:jc w:val="both"/>
        <w:rPr>
          <w:rFonts w:asciiTheme="minorHAnsi" w:hAnsiTheme="minorHAnsi" w:cstheme="minorHAnsi"/>
          <w:szCs w:val="22"/>
        </w:rPr>
      </w:pPr>
      <w:r w:rsidRPr="007B69AA">
        <w:rPr>
          <w:rFonts w:asciiTheme="minorHAnsi" w:hAnsiTheme="minorHAnsi" w:cstheme="minorHAnsi"/>
          <w:szCs w:val="22"/>
        </w:rPr>
        <w:t>Invest in bonds that are not guaranteed by the Commonwealth government, or a State or Territory government;</w:t>
      </w:r>
    </w:p>
    <w:p w14:paraId="6F23B2BC" w14:textId="77777777" w:rsidR="00D94B6C" w:rsidRPr="007B69AA" w:rsidRDefault="00D94B6C" w:rsidP="00D94B6C">
      <w:pPr>
        <w:pStyle w:val="BodyText"/>
        <w:numPr>
          <w:ilvl w:val="0"/>
          <w:numId w:val="2"/>
        </w:numPr>
        <w:spacing w:after="60"/>
        <w:ind w:left="426" w:hanging="426"/>
        <w:jc w:val="both"/>
        <w:rPr>
          <w:rFonts w:asciiTheme="minorHAnsi" w:hAnsiTheme="minorHAnsi" w:cstheme="minorHAnsi"/>
          <w:szCs w:val="22"/>
        </w:rPr>
      </w:pPr>
      <w:r w:rsidRPr="007B69AA">
        <w:rPr>
          <w:rFonts w:asciiTheme="minorHAnsi" w:hAnsiTheme="minorHAnsi" w:cstheme="minorHAnsi"/>
          <w:szCs w:val="22"/>
        </w:rPr>
        <w:t>Investment in bonds with a term to maturity of more than 3 years;</w:t>
      </w:r>
    </w:p>
    <w:p w14:paraId="478CD779" w14:textId="77777777" w:rsidR="00D94B6C" w:rsidRPr="007B69AA" w:rsidRDefault="00D94B6C" w:rsidP="00D94B6C">
      <w:pPr>
        <w:pStyle w:val="BodyText"/>
        <w:numPr>
          <w:ilvl w:val="0"/>
          <w:numId w:val="2"/>
        </w:numPr>
        <w:spacing w:after="60"/>
        <w:ind w:left="426" w:hanging="426"/>
        <w:jc w:val="both"/>
        <w:rPr>
          <w:rFonts w:asciiTheme="minorHAnsi" w:hAnsiTheme="minorHAnsi" w:cstheme="minorHAnsi"/>
          <w:szCs w:val="22"/>
        </w:rPr>
      </w:pPr>
      <w:r w:rsidRPr="007B69AA">
        <w:rPr>
          <w:rFonts w:asciiTheme="minorHAnsi" w:hAnsiTheme="minorHAnsi" w:cstheme="minorHAnsi"/>
          <w:szCs w:val="22"/>
        </w:rPr>
        <w:t>Investment in a foreign currency;</w:t>
      </w:r>
    </w:p>
    <w:p w14:paraId="01331C7F" w14:textId="77777777" w:rsidR="00D94B6C" w:rsidRPr="007B69AA" w:rsidRDefault="00D94B6C" w:rsidP="00D94B6C">
      <w:pPr>
        <w:pStyle w:val="BodyText"/>
        <w:numPr>
          <w:ilvl w:val="0"/>
          <w:numId w:val="2"/>
        </w:numPr>
        <w:spacing w:after="60"/>
        <w:ind w:left="426" w:hanging="426"/>
        <w:jc w:val="both"/>
        <w:rPr>
          <w:rFonts w:asciiTheme="minorHAnsi" w:hAnsiTheme="minorHAnsi" w:cstheme="minorHAnsi"/>
          <w:szCs w:val="22"/>
        </w:rPr>
      </w:pPr>
      <w:r w:rsidRPr="007B69AA">
        <w:rPr>
          <w:rFonts w:asciiTheme="minorHAnsi" w:hAnsiTheme="minorHAnsi" w:cstheme="minorHAnsi"/>
          <w:szCs w:val="22"/>
        </w:rPr>
        <w:t>Derivative based instruments;</w:t>
      </w:r>
    </w:p>
    <w:p w14:paraId="20D8D7F4" w14:textId="77777777" w:rsidR="00D94B6C" w:rsidRPr="007B69AA" w:rsidRDefault="00D94B6C" w:rsidP="00D94B6C">
      <w:pPr>
        <w:pStyle w:val="BodyText"/>
        <w:numPr>
          <w:ilvl w:val="0"/>
          <w:numId w:val="2"/>
        </w:numPr>
        <w:spacing w:after="60"/>
        <w:ind w:left="426" w:hanging="426"/>
        <w:jc w:val="both"/>
        <w:rPr>
          <w:rFonts w:asciiTheme="minorHAnsi" w:hAnsiTheme="minorHAnsi" w:cstheme="minorHAnsi"/>
          <w:szCs w:val="22"/>
        </w:rPr>
      </w:pPr>
      <w:r w:rsidRPr="007B69AA">
        <w:rPr>
          <w:rFonts w:asciiTheme="minorHAnsi" w:hAnsiTheme="minorHAnsi" w:cstheme="minorHAnsi"/>
          <w:szCs w:val="22"/>
        </w:rPr>
        <w:t>Principal only investments or securities that provide potentially nil or negative cash flow;</w:t>
      </w:r>
    </w:p>
    <w:p w14:paraId="39E17EBD" w14:textId="77777777" w:rsidR="00D94B6C" w:rsidRPr="007B69AA" w:rsidRDefault="00D94B6C" w:rsidP="00D94B6C">
      <w:pPr>
        <w:pStyle w:val="BodyText"/>
        <w:numPr>
          <w:ilvl w:val="0"/>
          <w:numId w:val="2"/>
        </w:numPr>
        <w:ind w:left="426" w:hanging="426"/>
        <w:jc w:val="both"/>
        <w:rPr>
          <w:rFonts w:asciiTheme="minorHAnsi" w:hAnsiTheme="minorHAnsi" w:cstheme="minorHAnsi"/>
          <w:szCs w:val="22"/>
        </w:rPr>
      </w:pPr>
      <w:proofErr w:type="spellStart"/>
      <w:r w:rsidRPr="007B69AA">
        <w:rPr>
          <w:rFonts w:asciiTheme="minorHAnsi" w:hAnsiTheme="minorHAnsi" w:cstheme="minorHAnsi"/>
          <w:szCs w:val="22"/>
        </w:rPr>
        <w:t>Stand alone</w:t>
      </w:r>
      <w:proofErr w:type="spellEnd"/>
      <w:r w:rsidRPr="007B69AA">
        <w:rPr>
          <w:rFonts w:asciiTheme="minorHAnsi" w:hAnsiTheme="minorHAnsi" w:cstheme="minorHAnsi"/>
          <w:szCs w:val="22"/>
        </w:rPr>
        <w:t xml:space="preserve"> securities issued that have underlying futures, options, forward contracts and swaps of any kind.</w:t>
      </w:r>
    </w:p>
    <w:p w14:paraId="1AC7E880" w14:textId="77777777" w:rsidR="00D94B6C" w:rsidRPr="007B69AA" w:rsidRDefault="00D94B6C" w:rsidP="00D94B6C">
      <w:pPr>
        <w:pStyle w:val="BodyText"/>
        <w:spacing w:before="240"/>
        <w:ind w:left="0"/>
        <w:rPr>
          <w:rFonts w:asciiTheme="minorHAnsi" w:hAnsiTheme="minorHAnsi" w:cstheme="minorHAnsi"/>
          <w:szCs w:val="22"/>
        </w:rPr>
      </w:pPr>
      <w:r w:rsidRPr="007B69AA">
        <w:rPr>
          <w:rFonts w:asciiTheme="minorHAnsi" w:hAnsiTheme="minorHAnsi" w:cstheme="minorHAnsi"/>
          <w:szCs w:val="22"/>
        </w:rPr>
        <w:t>Without approvals from Council, investments are limited to:</w:t>
      </w:r>
    </w:p>
    <w:p w14:paraId="022F2B67" w14:textId="77777777" w:rsidR="00D94B6C" w:rsidRPr="007B69AA" w:rsidRDefault="00D94B6C" w:rsidP="00D94B6C">
      <w:pPr>
        <w:pStyle w:val="BodyText"/>
        <w:numPr>
          <w:ilvl w:val="0"/>
          <w:numId w:val="3"/>
        </w:numPr>
        <w:spacing w:after="60"/>
        <w:ind w:left="426" w:hanging="426"/>
        <w:rPr>
          <w:rFonts w:asciiTheme="minorHAnsi" w:hAnsiTheme="minorHAnsi" w:cstheme="minorHAnsi"/>
          <w:szCs w:val="22"/>
        </w:rPr>
      </w:pPr>
      <w:r w:rsidRPr="007B69AA">
        <w:rPr>
          <w:rFonts w:asciiTheme="minorHAnsi" w:hAnsiTheme="minorHAnsi" w:cstheme="minorHAnsi"/>
          <w:szCs w:val="22"/>
        </w:rPr>
        <w:t>State/Commonwealth Government Bonds;</w:t>
      </w:r>
    </w:p>
    <w:p w14:paraId="66A0CB08" w14:textId="77777777" w:rsidR="00D94B6C" w:rsidRPr="007B69AA" w:rsidRDefault="00D94B6C" w:rsidP="00D94B6C">
      <w:pPr>
        <w:pStyle w:val="BodyText"/>
        <w:numPr>
          <w:ilvl w:val="0"/>
          <w:numId w:val="3"/>
        </w:numPr>
        <w:spacing w:after="60"/>
        <w:ind w:left="426" w:hanging="426"/>
        <w:rPr>
          <w:rFonts w:asciiTheme="minorHAnsi" w:hAnsiTheme="minorHAnsi" w:cstheme="minorHAnsi"/>
          <w:szCs w:val="22"/>
        </w:rPr>
      </w:pPr>
      <w:r w:rsidRPr="007B69AA">
        <w:rPr>
          <w:rFonts w:asciiTheme="minorHAnsi" w:hAnsiTheme="minorHAnsi" w:cstheme="minorHAnsi"/>
          <w:szCs w:val="22"/>
        </w:rPr>
        <w:t>Interest Bearing Deposits;</w:t>
      </w:r>
    </w:p>
    <w:p w14:paraId="4199F017" w14:textId="77777777" w:rsidR="00D94B6C" w:rsidRPr="007B69AA" w:rsidRDefault="00D94B6C" w:rsidP="00D94B6C">
      <w:pPr>
        <w:pStyle w:val="BodyText"/>
        <w:numPr>
          <w:ilvl w:val="0"/>
          <w:numId w:val="3"/>
        </w:numPr>
        <w:spacing w:after="200"/>
        <w:ind w:left="426" w:hanging="426"/>
        <w:rPr>
          <w:rFonts w:asciiTheme="minorHAnsi" w:hAnsiTheme="minorHAnsi" w:cstheme="minorHAnsi"/>
          <w:szCs w:val="22"/>
        </w:rPr>
      </w:pPr>
      <w:r w:rsidRPr="007B69AA">
        <w:rPr>
          <w:rFonts w:asciiTheme="minorHAnsi" w:hAnsiTheme="minorHAnsi" w:cstheme="minorHAnsi"/>
          <w:szCs w:val="22"/>
        </w:rPr>
        <w:t>Bank accepted/endorsed bank bills.</w:t>
      </w:r>
    </w:p>
    <w:p w14:paraId="499C6857" w14:textId="77777777" w:rsidR="00D94B6C" w:rsidRPr="00862911" w:rsidRDefault="00D94B6C" w:rsidP="00D94B6C">
      <w:pPr>
        <w:spacing w:before="200" w:after="0"/>
        <w:rPr>
          <w:b/>
          <w:sz w:val="28"/>
          <w:szCs w:val="28"/>
          <w:lang w:val="en-US"/>
        </w:rPr>
      </w:pPr>
      <w:r w:rsidRPr="00862911">
        <w:rPr>
          <w:b/>
          <w:sz w:val="28"/>
          <w:szCs w:val="28"/>
          <w:lang w:val="en-US"/>
        </w:rPr>
        <w:t xml:space="preserve">Policy </w:t>
      </w:r>
    </w:p>
    <w:p w14:paraId="105B9E1C" w14:textId="71C683E0" w:rsidR="00D94B6C" w:rsidRPr="007B69AA" w:rsidRDefault="00D94B6C" w:rsidP="00D94B6C">
      <w:pPr>
        <w:pStyle w:val="BodyText"/>
        <w:spacing w:after="200"/>
        <w:ind w:left="0"/>
        <w:jc w:val="both"/>
        <w:rPr>
          <w:rFonts w:asciiTheme="minorHAnsi" w:hAnsiTheme="minorHAnsi" w:cstheme="minorHAnsi"/>
          <w:szCs w:val="22"/>
        </w:rPr>
      </w:pPr>
      <w:r w:rsidRPr="007B69AA">
        <w:rPr>
          <w:rFonts w:asciiTheme="minorHAnsi" w:hAnsiTheme="minorHAnsi" w:cstheme="minorHAnsi"/>
          <w:szCs w:val="22"/>
        </w:rPr>
        <w:t xml:space="preserve">The investment will be managed with the care, diligence and skill that a prudent person would exercise. Officers are to manage the investment portfolios to safeguard the portfolios in accordance with the spirit of this Investment Policy, and not for speculative purposes. </w:t>
      </w:r>
    </w:p>
    <w:p w14:paraId="25CD5D1C" w14:textId="77777777" w:rsidR="00D94B6C" w:rsidRPr="007B69AA" w:rsidRDefault="00D94B6C" w:rsidP="00D94B6C">
      <w:pPr>
        <w:pStyle w:val="BodyText"/>
        <w:spacing w:after="200"/>
        <w:ind w:left="0"/>
        <w:jc w:val="both"/>
        <w:rPr>
          <w:rFonts w:asciiTheme="minorHAnsi" w:hAnsiTheme="minorHAnsi" w:cstheme="minorHAnsi"/>
          <w:szCs w:val="22"/>
        </w:rPr>
      </w:pPr>
      <w:r w:rsidRPr="007B69AA">
        <w:rPr>
          <w:rFonts w:asciiTheme="minorHAnsi" w:hAnsiTheme="minorHAnsi" w:cstheme="minorHAnsi"/>
          <w:szCs w:val="22"/>
        </w:rPr>
        <w:t xml:space="preserve">Investments obtained are to comply with key criteria limiting </w:t>
      </w:r>
      <w:proofErr w:type="spellStart"/>
      <w:r w:rsidRPr="007B69AA">
        <w:rPr>
          <w:rFonts w:asciiTheme="minorHAnsi" w:hAnsiTheme="minorHAnsi" w:cstheme="minorHAnsi"/>
          <w:szCs w:val="22"/>
        </w:rPr>
        <w:t>i</w:t>
      </w:r>
      <w:proofErr w:type="spellEnd"/>
      <w:r w:rsidRPr="007B69AA">
        <w:rPr>
          <w:rFonts w:asciiTheme="minorHAnsi" w:hAnsiTheme="minorHAnsi" w:cstheme="minorHAnsi"/>
          <w:szCs w:val="22"/>
        </w:rPr>
        <w:t>) overall credit exposure of the portfolio and exposure to individual institutions, and ii) the term to maturity of securities.</w:t>
      </w:r>
    </w:p>
    <w:p w14:paraId="5279B2D8" w14:textId="77777777" w:rsidR="00D94B6C" w:rsidRPr="00045DC5" w:rsidRDefault="00D94B6C" w:rsidP="00D94B6C">
      <w:pPr>
        <w:pStyle w:val="BodyText"/>
        <w:spacing w:after="0"/>
        <w:ind w:left="567" w:hanging="567"/>
        <w:jc w:val="both"/>
        <w:rPr>
          <w:rFonts w:asciiTheme="minorHAnsi" w:hAnsiTheme="minorHAnsi" w:cstheme="minorHAnsi"/>
          <w:szCs w:val="22"/>
          <w:u w:val="single"/>
        </w:rPr>
      </w:pPr>
      <w:r w:rsidRPr="00045DC5">
        <w:rPr>
          <w:rFonts w:asciiTheme="minorHAnsi" w:hAnsiTheme="minorHAnsi" w:cstheme="minorHAnsi"/>
          <w:szCs w:val="22"/>
        </w:rPr>
        <w:t>(</w:t>
      </w:r>
      <w:proofErr w:type="spellStart"/>
      <w:r w:rsidRPr="00045DC5">
        <w:rPr>
          <w:rFonts w:asciiTheme="minorHAnsi" w:hAnsiTheme="minorHAnsi" w:cstheme="minorHAnsi"/>
          <w:szCs w:val="22"/>
        </w:rPr>
        <w:t>i</w:t>
      </w:r>
      <w:proofErr w:type="spellEnd"/>
      <w:r w:rsidRPr="00045DC5">
        <w:rPr>
          <w:rFonts w:asciiTheme="minorHAnsi" w:hAnsiTheme="minorHAnsi" w:cstheme="minorHAnsi"/>
          <w:szCs w:val="22"/>
        </w:rPr>
        <w:t>)</w:t>
      </w:r>
      <w:r w:rsidRPr="00045DC5">
        <w:rPr>
          <w:rFonts w:asciiTheme="minorHAnsi" w:hAnsiTheme="minorHAnsi" w:cstheme="minorHAnsi"/>
          <w:szCs w:val="22"/>
        </w:rPr>
        <w:tab/>
      </w:r>
      <w:r w:rsidRPr="00862911">
        <w:rPr>
          <w:rFonts w:asciiTheme="minorHAnsi" w:hAnsiTheme="minorHAnsi" w:cstheme="minorHAnsi"/>
          <w:b/>
          <w:szCs w:val="22"/>
        </w:rPr>
        <w:t>Overall Portfolio and Individual Limits</w:t>
      </w:r>
    </w:p>
    <w:p w14:paraId="21CEE0BD" w14:textId="7F4BEFFF" w:rsidR="00D94B6C" w:rsidRPr="007B69AA" w:rsidRDefault="00D94B6C" w:rsidP="00D94B6C">
      <w:pPr>
        <w:pStyle w:val="BodyText"/>
        <w:ind w:left="567"/>
        <w:jc w:val="both"/>
        <w:rPr>
          <w:rFonts w:asciiTheme="minorHAnsi" w:hAnsiTheme="minorHAnsi" w:cstheme="minorHAnsi"/>
          <w:szCs w:val="22"/>
        </w:rPr>
      </w:pPr>
      <w:r w:rsidRPr="007B69AA">
        <w:rPr>
          <w:rFonts w:asciiTheme="minorHAnsi" w:hAnsiTheme="minorHAnsi" w:cstheme="minorHAnsi"/>
          <w:szCs w:val="22"/>
        </w:rPr>
        <w:t xml:space="preserve">To control the credit quality on the entire portfolio, the following credit framework limits the percentage of the portfolio exposed to any particular credit rating category. Exposure to an individual counterparty/institution will be restricted by its credit rating so that single entity exposure is limited, as detailed in the table below: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2127"/>
        <w:gridCol w:w="1984"/>
      </w:tblGrid>
      <w:tr w:rsidR="00D94B6C" w:rsidRPr="007B69AA" w14:paraId="0592BDBA" w14:textId="77777777" w:rsidTr="003D0790">
        <w:trPr>
          <w:trHeight w:val="1265"/>
        </w:trPr>
        <w:tc>
          <w:tcPr>
            <w:tcW w:w="1985" w:type="dxa"/>
          </w:tcPr>
          <w:p w14:paraId="18906517" w14:textId="77777777" w:rsidR="00D94B6C" w:rsidRPr="007B69AA" w:rsidRDefault="00D94B6C" w:rsidP="003D0790">
            <w:pPr>
              <w:spacing w:before="60" w:after="60"/>
              <w:jc w:val="center"/>
              <w:rPr>
                <w:rFonts w:cstheme="minorHAnsi"/>
                <w:b/>
              </w:rPr>
            </w:pPr>
            <w:r w:rsidRPr="007B69AA">
              <w:rPr>
                <w:rFonts w:cstheme="minorHAnsi"/>
                <w:b/>
              </w:rPr>
              <w:lastRenderedPageBreak/>
              <w:t>Long Term Rating</w:t>
            </w:r>
          </w:p>
          <w:p w14:paraId="7682E032" w14:textId="77777777" w:rsidR="00D94B6C" w:rsidRPr="007B69AA" w:rsidRDefault="00D94B6C" w:rsidP="003D0790">
            <w:pPr>
              <w:spacing w:before="60" w:after="60"/>
              <w:jc w:val="center"/>
              <w:rPr>
                <w:rFonts w:cstheme="minorHAnsi"/>
                <w:b/>
              </w:rPr>
            </w:pPr>
          </w:p>
        </w:tc>
        <w:tc>
          <w:tcPr>
            <w:tcW w:w="1984" w:type="dxa"/>
          </w:tcPr>
          <w:p w14:paraId="15DFCAE3" w14:textId="77777777" w:rsidR="00D94B6C" w:rsidRPr="007B69AA" w:rsidRDefault="00D94B6C" w:rsidP="003D0790">
            <w:pPr>
              <w:spacing w:before="60" w:after="60"/>
              <w:jc w:val="center"/>
              <w:rPr>
                <w:rFonts w:cstheme="minorHAnsi"/>
                <w:b/>
              </w:rPr>
            </w:pPr>
            <w:r w:rsidRPr="007B69AA">
              <w:rPr>
                <w:rFonts w:cstheme="minorHAnsi"/>
                <w:b/>
              </w:rPr>
              <w:t>Short Term Rating</w:t>
            </w:r>
          </w:p>
          <w:p w14:paraId="45772F85" w14:textId="77777777" w:rsidR="00D94B6C" w:rsidRPr="007B69AA" w:rsidRDefault="00D94B6C" w:rsidP="003D0790">
            <w:pPr>
              <w:spacing w:before="60" w:after="60"/>
              <w:jc w:val="center"/>
              <w:rPr>
                <w:rFonts w:cstheme="minorHAnsi"/>
                <w:b/>
              </w:rPr>
            </w:pPr>
          </w:p>
        </w:tc>
        <w:tc>
          <w:tcPr>
            <w:tcW w:w="2127" w:type="dxa"/>
          </w:tcPr>
          <w:p w14:paraId="0866DEFB" w14:textId="77777777" w:rsidR="00D94B6C" w:rsidRPr="007B69AA" w:rsidRDefault="00D94B6C" w:rsidP="003D0790">
            <w:pPr>
              <w:spacing w:before="60" w:after="60"/>
              <w:jc w:val="center"/>
              <w:rPr>
                <w:rFonts w:cstheme="minorHAnsi"/>
                <w:b/>
              </w:rPr>
            </w:pPr>
            <w:r w:rsidRPr="007B69AA">
              <w:rPr>
                <w:rFonts w:cstheme="minorHAnsi"/>
                <w:b/>
              </w:rPr>
              <w:t>Direct Investments</w:t>
            </w:r>
          </w:p>
          <w:p w14:paraId="6D84F89B" w14:textId="77777777" w:rsidR="00D94B6C" w:rsidRPr="007B69AA" w:rsidRDefault="00D94B6C" w:rsidP="003D0790">
            <w:pPr>
              <w:spacing w:before="60" w:after="60"/>
              <w:jc w:val="center"/>
              <w:rPr>
                <w:rFonts w:cstheme="minorHAnsi"/>
                <w:b/>
              </w:rPr>
            </w:pPr>
            <w:r w:rsidRPr="007B69AA">
              <w:rPr>
                <w:rFonts w:cstheme="minorHAnsi"/>
                <w:b/>
              </w:rPr>
              <w:t>Maximum % with any one institution</w:t>
            </w:r>
          </w:p>
        </w:tc>
        <w:tc>
          <w:tcPr>
            <w:tcW w:w="1984" w:type="dxa"/>
          </w:tcPr>
          <w:p w14:paraId="21423FB5" w14:textId="77777777" w:rsidR="00D94B6C" w:rsidRPr="007B69AA" w:rsidRDefault="00D94B6C" w:rsidP="003D0790">
            <w:pPr>
              <w:spacing w:before="60" w:after="60"/>
              <w:jc w:val="center"/>
              <w:rPr>
                <w:rFonts w:cstheme="minorHAnsi"/>
                <w:b/>
              </w:rPr>
            </w:pPr>
            <w:r w:rsidRPr="007B69AA">
              <w:rPr>
                <w:rFonts w:cstheme="minorHAnsi"/>
                <w:b/>
              </w:rPr>
              <w:t>Maximum % of Total Portfolio by Credit Rating</w:t>
            </w:r>
          </w:p>
        </w:tc>
      </w:tr>
      <w:tr w:rsidR="00D94B6C" w:rsidRPr="007B69AA" w14:paraId="630E2045" w14:textId="77777777" w:rsidTr="003D0790">
        <w:trPr>
          <w:trHeight w:val="424"/>
        </w:trPr>
        <w:tc>
          <w:tcPr>
            <w:tcW w:w="1985" w:type="dxa"/>
          </w:tcPr>
          <w:p w14:paraId="69853A2C" w14:textId="77777777" w:rsidR="00D94B6C" w:rsidRPr="007B69AA" w:rsidRDefault="00D94B6C" w:rsidP="003D0790">
            <w:pPr>
              <w:spacing w:before="60" w:after="60"/>
              <w:jc w:val="center"/>
              <w:rPr>
                <w:rFonts w:cstheme="minorHAnsi"/>
              </w:rPr>
            </w:pPr>
            <w:r w:rsidRPr="007B69AA">
              <w:rPr>
                <w:rFonts w:cstheme="minorHAnsi"/>
              </w:rPr>
              <w:t xml:space="preserve">AAA </w:t>
            </w:r>
          </w:p>
        </w:tc>
        <w:tc>
          <w:tcPr>
            <w:tcW w:w="1984" w:type="dxa"/>
          </w:tcPr>
          <w:p w14:paraId="37158D44" w14:textId="77777777" w:rsidR="00D94B6C" w:rsidRPr="007B69AA" w:rsidRDefault="00D94B6C" w:rsidP="003D0790">
            <w:pPr>
              <w:spacing w:before="60" w:after="60"/>
              <w:jc w:val="center"/>
              <w:rPr>
                <w:rFonts w:cstheme="minorHAnsi"/>
              </w:rPr>
            </w:pPr>
            <w:r w:rsidRPr="007B69AA">
              <w:rPr>
                <w:rFonts w:cstheme="minorHAnsi"/>
              </w:rPr>
              <w:t>A1+(F1+)</w:t>
            </w:r>
          </w:p>
        </w:tc>
        <w:tc>
          <w:tcPr>
            <w:tcW w:w="2127" w:type="dxa"/>
          </w:tcPr>
          <w:p w14:paraId="50D93707" w14:textId="67BE2CD9" w:rsidR="00D94B6C" w:rsidRPr="007B69AA" w:rsidRDefault="001A54BB" w:rsidP="003D0790">
            <w:pPr>
              <w:spacing w:before="60" w:after="60"/>
              <w:jc w:val="center"/>
              <w:rPr>
                <w:rFonts w:cstheme="minorHAnsi"/>
              </w:rPr>
            </w:pPr>
            <w:r>
              <w:rPr>
                <w:rFonts w:cstheme="minorHAnsi"/>
              </w:rPr>
              <w:t>100%</w:t>
            </w:r>
          </w:p>
        </w:tc>
        <w:tc>
          <w:tcPr>
            <w:tcW w:w="1984" w:type="dxa"/>
          </w:tcPr>
          <w:p w14:paraId="3820F2C4" w14:textId="77777777" w:rsidR="00D94B6C" w:rsidRPr="007B69AA" w:rsidRDefault="00D94B6C" w:rsidP="003D0790">
            <w:pPr>
              <w:spacing w:before="60" w:after="60"/>
              <w:jc w:val="center"/>
              <w:rPr>
                <w:rFonts w:cstheme="minorHAnsi"/>
              </w:rPr>
            </w:pPr>
            <w:r w:rsidRPr="007B69AA">
              <w:rPr>
                <w:rFonts w:cstheme="minorHAnsi"/>
              </w:rPr>
              <w:t>100%</w:t>
            </w:r>
          </w:p>
        </w:tc>
      </w:tr>
      <w:tr w:rsidR="00D94B6C" w:rsidRPr="007B69AA" w14:paraId="18E3AE86" w14:textId="77777777" w:rsidTr="003D0790">
        <w:trPr>
          <w:trHeight w:val="349"/>
        </w:trPr>
        <w:tc>
          <w:tcPr>
            <w:tcW w:w="1985" w:type="dxa"/>
          </w:tcPr>
          <w:p w14:paraId="2FF8D374" w14:textId="77777777" w:rsidR="00D94B6C" w:rsidRPr="007B69AA" w:rsidRDefault="00D94B6C" w:rsidP="003D0790">
            <w:pPr>
              <w:spacing w:before="60" w:after="60"/>
              <w:jc w:val="center"/>
              <w:rPr>
                <w:rFonts w:cstheme="minorHAnsi"/>
              </w:rPr>
            </w:pPr>
            <w:r w:rsidRPr="007B69AA">
              <w:rPr>
                <w:rFonts w:cstheme="minorHAnsi"/>
              </w:rPr>
              <w:t xml:space="preserve">AA </w:t>
            </w:r>
          </w:p>
        </w:tc>
        <w:tc>
          <w:tcPr>
            <w:tcW w:w="1984" w:type="dxa"/>
          </w:tcPr>
          <w:p w14:paraId="77D4E18E" w14:textId="77777777" w:rsidR="00D94B6C" w:rsidRPr="007B69AA" w:rsidRDefault="00D94B6C" w:rsidP="003D0790">
            <w:pPr>
              <w:spacing w:before="60" w:after="60"/>
              <w:jc w:val="center"/>
              <w:rPr>
                <w:rFonts w:cstheme="minorHAnsi"/>
              </w:rPr>
            </w:pPr>
            <w:r w:rsidRPr="007B69AA">
              <w:rPr>
                <w:rFonts w:cstheme="minorHAnsi"/>
              </w:rPr>
              <w:t>A1(F1)</w:t>
            </w:r>
          </w:p>
        </w:tc>
        <w:tc>
          <w:tcPr>
            <w:tcW w:w="2127" w:type="dxa"/>
          </w:tcPr>
          <w:p w14:paraId="3CDDEB50" w14:textId="663140D8" w:rsidR="00D94B6C" w:rsidRPr="007B69AA" w:rsidRDefault="001A54BB" w:rsidP="003D0790">
            <w:pPr>
              <w:spacing w:before="60" w:after="60"/>
              <w:jc w:val="center"/>
              <w:rPr>
                <w:rFonts w:cstheme="minorHAnsi"/>
              </w:rPr>
            </w:pPr>
            <w:r>
              <w:rPr>
                <w:rFonts w:cstheme="minorHAnsi"/>
              </w:rPr>
              <w:t>100%</w:t>
            </w:r>
          </w:p>
        </w:tc>
        <w:tc>
          <w:tcPr>
            <w:tcW w:w="1984" w:type="dxa"/>
          </w:tcPr>
          <w:p w14:paraId="2899371A" w14:textId="77777777" w:rsidR="00D94B6C" w:rsidRPr="007B69AA" w:rsidRDefault="00D94B6C" w:rsidP="003D0790">
            <w:pPr>
              <w:spacing w:before="60" w:after="60"/>
              <w:jc w:val="center"/>
              <w:rPr>
                <w:rFonts w:cstheme="minorHAnsi"/>
              </w:rPr>
            </w:pPr>
            <w:r w:rsidRPr="007B69AA">
              <w:rPr>
                <w:rFonts w:cstheme="minorHAnsi"/>
              </w:rPr>
              <w:t>100%</w:t>
            </w:r>
          </w:p>
        </w:tc>
      </w:tr>
      <w:tr w:rsidR="00D94B6C" w:rsidRPr="007B69AA" w14:paraId="64E3FE46" w14:textId="77777777" w:rsidTr="003D0790">
        <w:trPr>
          <w:trHeight w:val="392"/>
        </w:trPr>
        <w:tc>
          <w:tcPr>
            <w:tcW w:w="1985" w:type="dxa"/>
          </w:tcPr>
          <w:p w14:paraId="71AB087E" w14:textId="77777777" w:rsidR="00D94B6C" w:rsidRPr="007B69AA" w:rsidRDefault="00D94B6C" w:rsidP="003D0790">
            <w:pPr>
              <w:spacing w:before="60" w:after="60"/>
              <w:jc w:val="center"/>
              <w:rPr>
                <w:rFonts w:cstheme="minorHAnsi"/>
              </w:rPr>
            </w:pPr>
            <w:r w:rsidRPr="007B69AA">
              <w:rPr>
                <w:rFonts w:cstheme="minorHAnsi"/>
              </w:rPr>
              <w:t xml:space="preserve">A </w:t>
            </w:r>
          </w:p>
        </w:tc>
        <w:tc>
          <w:tcPr>
            <w:tcW w:w="1984" w:type="dxa"/>
          </w:tcPr>
          <w:p w14:paraId="4971C45B" w14:textId="77777777" w:rsidR="00D94B6C" w:rsidRPr="007B69AA" w:rsidRDefault="00D94B6C" w:rsidP="003D0790">
            <w:pPr>
              <w:spacing w:before="60" w:after="60"/>
              <w:jc w:val="center"/>
              <w:rPr>
                <w:rFonts w:cstheme="minorHAnsi"/>
              </w:rPr>
            </w:pPr>
            <w:r w:rsidRPr="007B69AA">
              <w:rPr>
                <w:rFonts w:cstheme="minorHAnsi"/>
              </w:rPr>
              <w:t>A2(F2)</w:t>
            </w:r>
          </w:p>
        </w:tc>
        <w:tc>
          <w:tcPr>
            <w:tcW w:w="2127" w:type="dxa"/>
          </w:tcPr>
          <w:p w14:paraId="2C86B731" w14:textId="77777777" w:rsidR="00D94B6C" w:rsidRPr="007B69AA" w:rsidRDefault="00D94B6C" w:rsidP="003D0790">
            <w:pPr>
              <w:spacing w:before="60" w:after="60"/>
              <w:jc w:val="center"/>
              <w:rPr>
                <w:rFonts w:cstheme="minorHAnsi"/>
              </w:rPr>
            </w:pPr>
            <w:r w:rsidRPr="007B69AA">
              <w:rPr>
                <w:rFonts w:cstheme="minorHAnsi"/>
              </w:rPr>
              <w:t>40%</w:t>
            </w:r>
          </w:p>
        </w:tc>
        <w:tc>
          <w:tcPr>
            <w:tcW w:w="1984" w:type="dxa"/>
          </w:tcPr>
          <w:p w14:paraId="472EAE5D" w14:textId="77777777" w:rsidR="00D94B6C" w:rsidRPr="007B69AA" w:rsidRDefault="00D94B6C" w:rsidP="003D0790">
            <w:pPr>
              <w:spacing w:before="60" w:after="60"/>
              <w:jc w:val="center"/>
              <w:rPr>
                <w:rFonts w:cstheme="minorHAnsi"/>
              </w:rPr>
            </w:pPr>
            <w:r w:rsidRPr="007B69AA">
              <w:rPr>
                <w:rFonts w:cstheme="minorHAnsi"/>
              </w:rPr>
              <w:t>80%</w:t>
            </w:r>
          </w:p>
        </w:tc>
      </w:tr>
    </w:tbl>
    <w:p w14:paraId="199EB121" w14:textId="77777777" w:rsidR="00D94B6C" w:rsidRDefault="00D94B6C" w:rsidP="00D94B6C">
      <w:pPr>
        <w:pStyle w:val="BodyText"/>
        <w:spacing w:before="200" w:after="200"/>
        <w:ind w:left="567"/>
        <w:jc w:val="both"/>
        <w:rPr>
          <w:rFonts w:asciiTheme="minorHAnsi" w:hAnsiTheme="minorHAnsi" w:cstheme="minorHAnsi"/>
          <w:szCs w:val="22"/>
        </w:rPr>
      </w:pPr>
      <w:r w:rsidRPr="007B69AA">
        <w:rPr>
          <w:rFonts w:asciiTheme="minorHAnsi" w:hAnsiTheme="minorHAnsi" w:cstheme="minorHAnsi"/>
          <w:szCs w:val="22"/>
        </w:rPr>
        <w:t>The rating categories are the minimum requirement for both long term and short term ratings per institution that will determine individual and total portfolio exposure. Unless stated otherwise, rating categories include + and – variations.</w:t>
      </w:r>
    </w:p>
    <w:p w14:paraId="7CE36352" w14:textId="697EB8B0" w:rsidR="009C1A8D" w:rsidRPr="007B69AA" w:rsidRDefault="00214D41" w:rsidP="00D94B6C">
      <w:pPr>
        <w:pStyle w:val="BodyText"/>
        <w:spacing w:before="200" w:after="200"/>
        <w:ind w:left="567"/>
        <w:jc w:val="both"/>
        <w:rPr>
          <w:rFonts w:asciiTheme="minorHAnsi" w:hAnsiTheme="minorHAnsi" w:cstheme="minorHAnsi"/>
          <w:szCs w:val="22"/>
        </w:rPr>
      </w:pPr>
      <w:r>
        <w:rPr>
          <w:rFonts w:asciiTheme="minorHAnsi" w:hAnsiTheme="minorHAnsi" w:cstheme="minorHAnsi"/>
          <w:szCs w:val="22"/>
        </w:rPr>
        <w:t xml:space="preserve">The policy </w:t>
      </w:r>
      <w:r w:rsidR="000B06C5">
        <w:rPr>
          <w:rFonts w:asciiTheme="minorHAnsi" w:hAnsiTheme="minorHAnsi" w:cstheme="minorHAnsi"/>
          <w:szCs w:val="22"/>
        </w:rPr>
        <w:t>allows</w:t>
      </w:r>
      <w:r>
        <w:rPr>
          <w:rFonts w:asciiTheme="minorHAnsi" w:hAnsiTheme="minorHAnsi" w:cstheme="minorHAnsi"/>
          <w:szCs w:val="22"/>
        </w:rPr>
        <w:t xml:space="preserve"> Town to hold the working capital and investment funds </w:t>
      </w:r>
      <w:r w:rsidR="000B06C5">
        <w:rPr>
          <w:rFonts w:asciiTheme="minorHAnsi" w:hAnsiTheme="minorHAnsi" w:cstheme="minorHAnsi"/>
          <w:szCs w:val="22"/>
        </w:rPr>
        <w:t xml:space="preserve">in </w:t>
      </w:r>
      <w:r w:rsidR="00B34DC9">
        <w:rPr>
          <w:rFonts w:asciiTheme="minorHAnsi" w:hAnsiTheme="minorHAnsi" w:cstheme="minorHAnsi"/>
          <w:szCs w:val="22"/>
        </w:rPr>
        <w:t xml:space="preserve">one institution </w:t>
      </w:r>
      <w:proofErr w:type="gramStart"/>
      <w:r w:rsidR="00B34DC9">
        <w:rPr>
          <w:rFonts w:asciiTheme="minorHAnsi" w:hAnsiTheme="minorHAnsi" w:cstheme="minorHAnsi"/>
          <w:szCs w:val="22"/>
        </w:rPr>
        <w:t>as long as</w:t>
      </w:r>
      <w:proofErr w:type="gramEnd"/>
      <w:r w:rsidR="00B34DC9">
        <w:rPr>
          <w:rFonts w:asciiTheme="minorHAnsi" w:hAnsiTheme="minorHAnsi" w:cstheme="minorHAnsi"/>
          <w:szCs w:val="22"/>
        </w:rPr>
        <w:t xml:space="preserve"> the credit rating of the institution is AA or above. </w:t>
      </w:r>
    </w:p>
    <w:p w14:paraId="77FDEF77" w14:textId="77777777" w:rsidR="00D94B6C" w:rsidRPr="007B69AA" w:rsidRDefault="00D94B6C" w:rsidP="00D94B6C">
      <w:pPr>
        <w:pStyle w:val="BodyText"/>
        <w:spacing w:after="0"/>
        <w:ind w:left="567" w:hanging="567"/>
        <w:rPr>
          <w:rFonts w:asciiTheme="minorHAnsi" w:hAnsiTheme="minorHAnsi" w:cstheme="minorHAnsi"/>
          <w:szCs w:val="22"/>
        </w:rPr>
      </w:pPr>
      <w:r w:rsidRPr="007B69AA">
        <w:rPr>
          <w:rFonts w:asciiTheme="minorHAnsi" w:hAnsiTheme="minorHAnsi" w:cstheme="minorHAnsi"/>
          <w:szCs w:val="22"/>
        </w:rPr>
        <w:t xml:space="preserve"> (ii)</w:t>
      </w:r>
      <w:r w:rsidRPr="007B69AA">
        <w:rPr>
          <w:rFonts w:asciiTheme="minorHAnsi" w:hAnsiTheme="minorHAnsi" w:cstheme="minorHAnsi"/>
          <w:szCs w:val="22"/>
        </w:rPr>
        <w:tab/>
      </w:r>
      <w:r w:rsidRPr="00862911">
        <w:rPr>
          <w:rFonts w:asciiTheme="minorHAnsi" w:hAnsiTheme="minorHAnsi" w:cstheme="minorHAnsi"/>
          <w:b/>
          <w:szCs w:val="22"/>
        </w:rPr>
        <w:t>Term to Maturity Framework</w:t>
      </w:r>
    </w:p>
    <w:p w14:paraId="63D89613" w14:textId="77777777" w:rsidR="00D94B6C" w:rsidRPr="007B69AA" w:rsidRDefault="00D94B6C" w:rsidP="00D94B6C">
      <w:pPr>
        <w:pStyle w:val="BodyText"/>
        <w:ind w:left="567"/>
        <w:rPr>
          <w:rFonts w:asciiTheme="minorHAnsi" w:hAnsiTheme="minorHAnsi" w:cstheme="minorHAnsi"/>
          <w:szCs w:val="22"/>
        </w:rPr>
      </w:pPr>
      <w:r w:rsidRPr="007B69AA">
        <w:rPr>
          <w:rFonts w:asciiTheme="minorHAnsi" w:hAnsiTheme="minorHAnsi" w:cstheme="minorHAnsi"/>
          <w:szCs w:val="22"/>
        </w:rPr>
        <w:t>The investment portfolio is to be invested within the following maturity constraints:</w:t>
      </w:r>
    </w:p>
    <w:p w14:paraId="07023BD6" w14:textId="230D8E52" w:rsidR="00D94B6C" w:rsidRPr="007B69AA" w:rsidRDefault="00D94B6C" w:rsidP="00D94B6C">
      <w:pPr>
        <w:pStyle w:val="BodyText"/>
        <w:ind w:left="567"/>
        <w:rPr>
          <w:rFonts w:asciiTheme="minorHAnsi" w:hAnsiTheme="minorHAnsi" w:cstheme="minorHAnsi"/>
          <w:szCs w:val="22"/>
        </w:rPr>
      </w:pPr>
      <w:r w:rsidRPr="007B69AA">
        <w:rPr>
          <w:rFonts w:asciiTheme="minorHAnsi" w:hAnsiTheme="minorHAnsi" w:cstheme="minorHAnsi"/>
          <w:szCs w:val="22"/>
        </w:rPr>
        <w:t>Portfolio %</w:t>
      </w:r>
      <w:r w:rsidR="003F243B">
        <w:rPr>
          <w:rFonts w:asciiTheme="minorHAnsi" w:hAnsiTheme="minorHAnsi" w:cstheme="minorHAnsi"/>
          <w:szCs w:val="22"/>
        </w:rPr>
        <w:t>=</w:t>
      </w:r>
      <w:r w:rsidRPr="007B69AA">
        <w:rPr>
          <w:rFonts w:asciiTheme="minorHAnsi" w:hAnsiTheme="minorHAnsi" w:cstheme="minorHAnsi"/>
          <w:szCs w:val="22"/>
        </w:rPr>
        <w:t xml:space="preserve"> &lt;1 year</w:t>
      </w:r>
      <w:r w:rsidRPr="007B69AA">
        <w:rPr>
          <w:rFonts w:asciiTheme="minorHAnsi" w:hAnsiTheme="minorHAnsi" w:cstheme="minorHAnsi"/>
          <w:szCs w:val="22"/>
        </w:rPr>
        <w:tab/>
      </w:r>
      <w:r w:rsidRPr="007B69AA">
        <w:rPr>
          <w:rFonts w:asciiTheme="minorHAnsi" w:hAnsiTheme="minorHAnsi" w:cstheme="minorHAnsi"/>
          <w:szCs w:val="22"/>
        </w:rPr>
        <w:tab/>
      </w:r>
      <w:r w:rsidRPr="007B69AA">
        <w:rPr>
          <w:rFonts w:asciiTheme="minorHAnsi" w:hAnsiTheme="minorHAnsi" w:cstheme="minorHAnsi"/>
          <w:szCs w:val="22"/>
        </w:rPr>
        <w:tab/>
        <w:t>100% Max - 60% Min</w:t>
      </w:r>
    </w:p>
    <w:p w14:paraId="49004FDF" w14:textId="0900FBE0" w:rsidR="00D94B6C" w:rsidRPr="007B69AA" w:rsidRDefault="00D94B6C" w:rsidP="0042552C">
      <w:pPr>
        <w:pStyle w:val="BodyText"/>
        <w:spacing w:after="200"/>
        <w:ind w:left="4395" w:hanging="3828"/>
        <w:jc w:val="both"/>
        <w:rPr>
          <w:rFonts w:asciiTheme="minorHAnsi" w:hAnsiTheme="minorHAnsi" w:cstheme="minorHAnsi"/>
          <w:szCs w:val="22"/>
        </w:rPr>
      </w:pPr>
      <w:r w:rsidRPr="007B69AA">
        <w:rPr>
          <w:rFonts w:asciiTheme="minorHAnsi" w:hAnsiTheme="minorHAnsi" w:cstheme="minorHAnsi"/>
          <w:szCs w:val="22"/>
        </w:rPr>
        <w:t>Portfolio % &gt;1 year &lt;3 years</w:t>
      </w:r>
      <w:r w:rsidRPr="007B69AA">
        <w:rPr>
          <w:rFonts w:asciiTheme="minorHAnsi" w:hAnsiTheme="minorHAnsi" w:cstheme="minorHAnsi"/>
          <w:szCs w:val="22"/>
        </w:rPr>
        <w:tab/>
        <w:t>40% Max</w:t>
      </w:r>
      <w:r w:rsidR="0042552C">
        <w:rPr>
          <w:rFonts w:asciiTheme="minorHAnsi" w:hAnsiTheme="minorHAnsi" w:cstheme="minorHAnsi"/>
          <w:szCs w:val="22"/>
        </w:rPr>
        <w:t xml:space="preserve"> </w:t>
      </w:r>
      <w:r w:rsidRPr="007B69AA">
        <w:rPr>
          <w:rFonts w:asciiTheme="minorHAnsi" w:hAnsiTheme="minorHAnsi" w:cstheme="minorHAnsi"/>
          <w:szCs w:val="22"/>
        </w:rPr>
        <w:t>Investment performance is benchmarked against the cash rate.</w:t>
      </w:r>
    </w:p>
    <w:p w14:paraId="772B2154" w14:textId="7C699D69" w:rsidR="001F37F0" w:rsidRDefault="001F37F0" w:rsidP="001F37F0">
      <w:pPr>
        <w:pStyle w:val="BodyText"/>
        <w:spacing w:after="0"/>
        <w:ind w:left="567" w:hanging="567"/>
        <w:jc w:val="both"/>
        <w:rPr>
          <w:rFonts w:asciiTheme="minorHAnsi" w:hAnsiTheme="minorHAnsi" w:cstheme="minorHAnsi"/>
          <w:b/>
          <w:bCs/>
          <w:szCs w:val="22"/>
        </w:rPr>
      </w:pPr>
      <w:r>
        <w:rPr>
          <w:rFonts w:asciiTheme="minorHAnsi" w:hAnsiTheme="minorHAnsi" w:cstheme="minorHAnsi"/>
          <w:szCs w:val="22"/>
        </w:rPr>
        <w:t>(iii)</w:t>
      </w:r>
      <w:r>
        <w:rPr>
          <w:rFonts w:asciiTheme="minorHAnsi" w:hAnsiTheme="minorHAnsi" w:cstheme="minorHAnsi"/>
          <w:szCs w:val="22"/>
        </w:rPr>
        <w:tab/>
      </w:r>
      <w:r>
        <w:rPr>
          <w:rFonts w:asciiTheme="minorHAnsi" w:hAnsiTheme="minorHAnsi" w:cstheme="minorHAnsi"/>
          <w:b/>
          <w:bCs/>
          <w:szCs w:val="22"/>
        </w:rPr>
        <w:t>Professional Advice</w:t>
      </w:r>
    </w:p>
    <w:p w14:paraId="7AC8C592" w14:textId="63C44824" w:rsidR="001F37F0" w:rsidRDefault="001F37F0" w:rsidP="001F37F0">
      <w:pPr>
        <w:pStyle w:val="BodyText"/>
        <w:spacing w:after="200"/>
        <w:ind w:left="993" w:hanging="426"/>
        <w:jc w:val="both"/>
        <w:rPr>
          <w:rFonts w:asciiTheme="minorHAnsi" w:hAnsiTheme="minorHAnsi" w:cstheme="minorHAnsi"/>
          <w:szCs w:val="22"/>
        </w:rPr>
      </w:pPr>
      <w:r w:rsidRPr="001F37F0">
        <w:rPr>
          <w:rFonts w:asciiTheme="minorHAnsi" w:hAnsiTheme="minorHAnsi" w:cstheme="minorHAnsi"/>
          <w:szCs w:val="22"/>
        </w:rPr>
        <w:t xml:space="preserve">a) </w:t>
      </w:r>
      <w:r w:rsidRPr="001F37F0">
        <w:rPr>
          <w:rFonts w:asciiTheme="minorHAnsi" w:hAnsiTheme="minorHAnsi" w:cstheme="minorHAnsi"/>
          <w:szCs w:val="22"/>
        </w:rPr>
        <w:tab/>
      </w:r>
      <w:r>
        <w:rPr>
          <w:rFonts w:asciiTheme="minorHAnsi" w:hAnsiTheme="minorHAnsi" w:cstheme="minorHAnsi"/>
          <w:szCs w:val="22"/>
        </w:rPr>
        <w:t xml:space="preserve">The Town may from time to time engage the services of suitably qualified investment professionals to </w:t>
      </w:r>
      <w:proofErr w:type="gramStart"/>
      <w:r>
        <w:rPr>
          <w:rFonts w:asciiTheme="minorHAnsi" w:hAnsiTheme="minorHAnsi" w:cstheme="minorHAnsi"/>
          <w:szCs w:val="22"/>
        </w:rPr>
        <w:t>provide assistance</w:t>
      </w:r>
      <w:proofErr w:type="gramEnd"/>
      <w:r>
        <w:rPr>
          <w:rFonts w:asciiTheme="minorHAnsi" w:hAnsiTheme="minorHAnsi" w:cstheme="minorHAnsi"/>
          <w:szCs w:val="22"/>
        </w:rPr>
        <w:t xml:space="preserve"> in investment strategy formulation, portfolio implementation and monitoring.</w:t>
      </w:r>
    </w:p>
    <w:p w14:paraId="7C1078E6" w14:textId="23F1BE41" w:rsidR="001F37F0" w:rsidRDefault="001F37F0" w:rsidP="001F37F0">
      <w:pPr>
        <w:pStyle w:val="BodyText"/>
        <w:spacing w:after="200"/>
        <w:ind w:left="993" w:hanging="426"/>
        <w:jc w:val="both"/>
        <w:rPr>
          <w:rFonts w:asciiTheme="minorHAnsi" w:hAnsiTheme="minorHAnsi" w:cstheme="minorHAnsi"/>
          <w:szCs w:val="22"/>
        </w:rPr>
      </w:pPr>
      <w:r>
        <w:rPr>
          <w:rFonts w:asciiTheme="minorHAnsi" w:hAnsiTheme="minorHAnsi" w:cstheme="minorHAnsi"/>
          <w:szCs w:val="22"/>
        </w:rPr>
        <w:t>b)</w:t>
      </w:r>
      <w:r>
        <w:rPr>
          <w:rFonts w:asciiTheme="minorHAnsi" w:hAnsiTheme="minorHAnsi" w:cstheme="minorHAnsi"/>
          <w:szCs w:val="22"/>
        </w:rPr>
        <w:tab/>
        <w:t>Any such advisor must be licensed by the Australian Securities and Investment Commission. The advisor must be an independent person who has no actual or potential conflict of interest in relation to investment products being recommended and is free to choose the most appropriate product within the terms and conditions of this Investment Policy.</w:t>
      </w:r>
    </w:p>
    <w:p w14:paraId="4028ADD9" w14:textId="5181736C" w:rsidR="001F37F0" w:rsidRPr="001F37F0" w:rsidRDefault="001F37F0" w:rsidP="001F37F0">
      <w:pPr>
        <w:pStyle w:val="BodyText"/>
        <w:spacing w:after="200"/>
        <w:ind w:left="993" w:hanging="426"/>
        <w:jc w:val="both"/>
        <w:rPr>
          <w:rFonts w:asciiTheme="minorHAnsi" w:hAnsiTheme="minorHAnsi" w:cstheme="minorHAnsi"/>
          <w:szCs w:val="22"/>
        </w:rPr>
      </w:pPr>
      <w:r>
        <w:rPr>
          <w:rFonts w:asciiTheme="minorHAnsi" w:hAnsiTheme="minorHAnsi" w:cstheme="minorHAnsi"/>
          <w:szCs w:val="22"/>
        </w:rPr>
        <w:t>c)</w:t>
      </w:r>
      <w:r>
        <w:rPr>
          <w:rFonts w:asciiTheme="minorHAnsi" w:hAnsiTheme="minorHAnsi" w:cstheme="minorHAnsi"/>
          <w:szCs w:val="22"/>
        </w:rPr>
        <w:tab/>
        <w:t>Any independent advisor engaged by the Town is required to provide written confirmation that they do not have any actual or potential conflicts of interest in relation to the investments they are recommending or reviewing.</w:t>
      </w:r>
    </w:p>
    <w:p w14:paraId="2C04FD66" w14:textId="3B99CBE5" w:rsidR="00D94B6C" w:rsidRPr="007B69AA" w:rsidRDefault="00D94B6C" w:rsidP="00D94B6C">
      <w:pPr>
        <w:pStyle w:val="BodyText"/>
        <w:spacing w:after="200"/>
        <w:ind w:left="0"/>
        <w:jc w:val="both"/>
        <w:rPr>
          <w:rFonts w:asciiTheme="minorHAnsi" w:hAnsiTheme="minorHAnsi" w:cstheme="minorHAnsi"/>
          <w:szCs w:val="22"/>
        </w:rPr>
      </w:pPr>
      <w:r w:rsidRPr="007B69AA">
        <w:rPr>
          <w:rFonts w:asciiTheme="minorHAnsi" w:hAnsiTheme="minorHAnsi" w:cstheme="minorHAnsi"/>
          <w:szCs w:val="22"/>
        </w:rPr>
        <w:t xml:space="preserve">A monthly report will be provided to Council, in support of the monthly financial activity statement, which will detail the investment portfolio in terms of divestment of </w:t>
      </w:r>
      <w:r w:rsidRPr="007B69AA">
        <w:rPr>
          <w:rFonts w:asciiTheme="minorHAnsi" w:hAnsiTheme="minorHAnsi" w:cstheme="minorHAnsi"/>
          <w:b/>
          <w:szCs w:val="22"/>
          <w:u w:val="single"/>
        </w:rPr>
        <w:t xml:space="preserve">fossil fuel </w:t>
      </w:r>
      <w:r w:rsidRPr="007B69AA">
        <w:rPr>
          <w:rFonts w:asciiTheme="minorHAnsi" w:hAnsiTheme="minorHAnsi" w:cstheme="minorHAnsi"/>
          <w:szCs w:val="22"/>
        </w:rPr>
        <w:t>industry supported investments, performance, percentage exposure of total portfolio by rating category and maturity date framework.</w:t>
      </w:r>
    </w:p>
    <w:p w14:paraId="5679EE4C" w14:textId="77777777" w:rsidR="00D94B6C" w:rsidRPr="007B69AA" w:rsidRDefault="00D94B6C" w:rsidP="00D94B6C">
      <w:pPr>
        <w:pStyle w:val="BodyText"/>
        <w:spacing w:after="200"/>
        <w:ind w:left="0"/>
        <w:jc w:val="both"/>
        <w:rPr>
          <w:rFonts w:asciiTheme="minorHAnsi" w:hAnsiTheme="minorHAnsi" w:cstheme="minorHAnsi"/>
          <w:szCs w:val="22"/>
        </w:rPr>
      </w:pPr>
      <w:r w:rsidRPr="007B69AA">
        <w:rPr>
          <w:rFonts w:asciiTheme="minorHAnsi" w:hAnsiTheme="minorHAnsi" w:cstheme="minorHAnsi"/>
          <w:szCs w:val="22"/>
        </w:rPr>
        <w:t xml:space="preserve">If any of the investments are downgraded such that they no longer fall within the risk management guidelines, they will be divested as soon as practicable. </w:t>
      </w:r>
    </w:p>
    <w:p w14:paraId="1EB7B4F3" w14:textId="77777777" w:rsidR="00D94B6C" w:rsidRPr="007B69AA" w:rsidRDefault="00D94B6C" w:rsidP="00D94B6C">
      <w:pPr>
        <w:pStyle w:val="BodyText"/>
        <w:spacing w:after="200"/>
        <w:ind w:left="0"/>
        <w:jc w:val="both"/>
        <w:rPr>
          <w:rFonts w:asciiTheme="minorHAnsi" w:hAnsiTheme="minorHAnsi" w:cstheme="minorHAnsi"/>
          <w:szCs w:val="22"/>
        </w:rPr>
      </w:pPr>
      <w:r w:rsidRPr="007B69AA">
        <w:rPr>
          <w:rFonts w:asciiTheme="minorHAnsi" w:hAnsiTheme="minorHAnsi" w:cstheme="minorHAnsi"/>
          <w:szCs w:val="22"/>
        </w:rPr>
        <w:t xml:space="preserve">The table below details two rating agencies’ credit ratings for short and long term investments. It includes a grade explanation for each credit rating, which can be substituted, if required, with similar categories of rating from other </w:t>
      </w:r>
      <w:proofErr w:type="spellStart"/>
      <w:r w:rsidRPr="007B69AA">
        <w:rPr>
          <w:rFonts w:asciiTheme="minorHAnsi" w:hAnsiTheme="minorHAnsi" w:cstheme="minorHAnsi"/>
          <w:szCs w:val="22"/>
        </w:rPr>
        <w:t>recognised</w:t>
      </w:r>
      <w:proofErr w:type="spellEnd"/>
      <w:r w:rsidRPr="007B69AA">
        <w:rPr>
          <w:rFonts w:asciiTheme="minorHAnsi" w:hAnsiTheme="minorHAnsi" w:cstheme="minorHAnsi"/>
          <w:szCs w:val="22"/>
        </w:rPr>
        <w:t xml:space="preserve"> ratings agencies.</w:t>
      </w:r>
    </w:p>
    <w:p w14:paraId="08A591DE" w14:textId="77777777" w:rsidR="00D94B6C" w:rsidRPr="007B69AA" w:rsidRDefault="00D94B6C" w:rsidP="00D94B6C">
      <w:pPr>
        <w:pStyle w:val="BodyText"/>
        <w:ind w:left="0"/>
        <w:jc w:val="both"/>
        <w:rPr>
          <w:rFonts w:asciiTheme="minorHAnsi" w:hAnsiTheme="minorHAnsi" w:cstheme="minorHAnsi"/>
          <w:szCs w:val="22"/>
        </w:rPr>
      </w:pPr>
      <w:r w:rsidRPr="007B69AA">
        <w:rPr>
          <w:rFonts w:asciiTheme="minorHAnsi" w:hAnsiTheme="minorHAnsi" w:cstheme="minorHAnsi"/>
          <w:szCs w:val="22"/>
        </w:rPr>
        <w:t xml:space="preserve">The short term &lt;365 days rating as defined by Standard &amp; </w:t>
      </w:r>
      <w:proofErr w:type="spellStart"/>
      <w:r w:rsidRPr="007B69AA">
        <w:rPr>
          <w:rFonts w:asciiTheme="minorHAnsi" w:hAnsiTheme="minorHAnsi" w:cstheme="minorHAnsi"/>
          <w:szCs w:val="22"/>
        </w:rPr>
        <w:t>Poors</w:t>
      </w:r>
      <w:proofErr w:type="spellEnd"/>
      <w:r w:rsidRPr="007B69AA">
        <w:rPr>
          <w:rFonts w:asciiTheme="minorHAnsi" w:hAnsiTheme="minorHAnsi" w:cstheme="minorHAnsi"/>
          <w:szCs w:val="22"/>
        </w:rPr>
        <w:t xml:space="preserve"> (or Fitch)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7162"/>
      </w:tblGrid>
      <w:tr w:rsidR="00D94B6C" w:rsidRPr="007B69AA" w14:paraId="11F1E7F8" w14:textId="77777777" w:rsidTr="003D0790">
        <w:tc>
          <w:tcPr>
            <w:tcW w:w="1770" w:type="dxa"/>
          </w:tcPr>
          <w:p w14:paraId="52D99EFB" w14:textId="77777777" w:rsidR="00D94B6C" w:rsidRPr="007B69AA" w:rsidRDefault="00D94B6C" w:rsidP="003D0790">
            <w:pPr>
              <w:pStyle w:val="BodyText"/>
              <w:ind w:left="34"/>
              <w:rPr>
                <w:rFonts w:asciiTheme="minorHAnsi" w:hAnsiTheme="minorHAnsi" w:cstheme="minorHAnsi"/>
                <w:b/>
                <w:szCs w:val="22"/>
              </w:rPr>
            </w:pPr>
            <w:r w:rsidRPr="007B69AA">
              <w:rPr>
                <w:rFonts w:asciiTheme="minorHAnsi" w:hAnsiTheme="minorHAnsi" w:cstheme="minorHAnsi"/>
                <w:b/>
                <w:szCs w:val="22"/>
              </w:rPr>
              <w:lastRenderedPageBreak/>
              <w:t>A1+(F1+)</w:t>
            </w:r>
          </w:p>
        </w:tc>
        <w:tc>
          <w:tcPr>
            <w:tcW w:w="7364" w:type="dxa"/>
          </w:tcPr>
          <w:p w14:paraId="01B4D8E8" w14:textId="77777777" w:rsidR="00D94B6C" w:rsidRPr="007B69AA" w:rsidRDefault="00D94B6C" w:rsidP="003D0790">
            <w:pPr>
              <w:pStyle w:val="BodyText"/>
              <w:ind w:left="107"/>
              <w:rPr>
                <w:rFonts w:asciiTheme="minorHAnsi" w:hAnsiTheme="minorHAnsi" w:cstheme="minorHAnsi"/>
                <w:szCs w:val="22"/>
              </w:rPr>
            </w:pPr>
            <w:r w:rsidRPr="007B69AA">
              <w:rPr>
                <w:rFonts w:asciiTheme="minorHAnsi" w:hAnsiTheme="minorHAnsi" w:cstheme="minorHAnsi"/>
                <w:szCs w:val="22"/>
              </w:rPr>
              <w:t>Superior, extremely strong degree of safety for timely payment</w:t>
            </w:r>
          </w:p>
        </w:tc>
      </w:tr>
      <w:tr w:rsidR="00D94B6C" w:rsidRPr="007B69AA" w14:paraId="148E5D9A" w14:textId="77777777" w:rsidTr="003D0790">
        <w:tc>
          <w:tcPr>
            <w:tcW w:w="1770" w:type="dxa"/>
          </w:tcPr>
          <w:p w14:paraId="085CC49B" w14:textId="77777777" w:rsidR="00D94B6C" w:rsidRPr="007B69AA" w:rsidRDefault="00D94B6C" w:rsidP="003D0790">
            <w:pPr>
              <w:pStyle w:val="BodyText"/>
              <w:ind w:left="34"/>
              <w:rPr>
                <w:rFonts w:asciiTheme="minorHAnsi" w:hAnsiTheme="minorHAnsi" w:cstheme="minorHAnsi"/>
                <w:b/>
                <w:szCs w:val="22"/>
              </w:rPr>
            </w:pPr>
            <w:r w:rsidRPr="007B69AA">
              <w:rPr>
                <w:rFonts w:asciiTheme="minorHAnsi" w:hAnsiTheme="minorHAnsi" w:cstheme="minorHAnsi"/>
                <w:b/>
                <w:szCs w:val="22"/>
              </w:rPr>
              <w:t>A1 (F1)</w:t>
            </w:r>
          </w:p>
        </w:tc>
        <w:tc>
          <w:tcPr>
            <w:tcW w:w="7364" w:type="dxa"/>
          </w:tcPr>
          <w:p w14:paraId="69EF1891" w14:textId="77777777" w:rsidR="00D94B6C" w:rsidRPr="007B69AA" w:rsidRDefault="00D94B6C" w:rsidP="003D0790">
            <w:pPr>
              <w:pStyle w:val="BodyText"/>
              <w:ind w:left="107"/>
              <w:rPr>
                <w:rFonts w:asciiTheme="minorHAnsi" w:hAnsiTheme="minorHAnsi" w:cstheme="minorHAnsi"/>
                <w:szCs w:val="22"/>
              </w:rPr>
            </w:pPr>
            <w:r w:rsidRPr="007B69AA">
              <w:rPr>
                <w:rFonts w:asciiTheme="minorHAnsi" w:hAnsiTheme="minorHAnsi" w:cstheme="minorHAnsi"/>
                <w:szCs w:val="22"/>
              </w:rPr>
              <w:t xml:space="preserve">Superior, a strong degree of safety for timely payment </w:t>
            </w:r>
          </w:p>
        </w:tc>
      </w:tr>
      <w:tr w:rsidR="00D94B6C" w:rsidRPr="007B69AA" w14:paraId="197F4869" w14:textId="77777777" w:rsidTr="003D0790">
        <w:tc>
          <w:tcPr>
            <w:tcW w:w="1770" w:type="dxa"/>
          </w:tcPr>
          <w:p w14:paraId="34A99824" w14:textId="77777777" w:rsidR="00D94B6C" w:rsidRPr="007B69AA" w:rsidRDefault="00D94B6C" w:rsidP="003D0790">
            <w:pPr>
              <w:pStyle w:val="BodyText"/>
              <w:ind w:left="34"/>
              <w:rPr>
                <w:rFonts w:asciiTheme="minorHAnsi" w:hAnsiTheme="minorHAnsi" w:cstheme="minorHAnsi"/>
                <w:b/>
                <w:szCs w:val="22"/>
              </w:rPr>
            </w:pPr>
            <w:r w:rsidRPr="007B69AA">
              <w:rPr>
                <w:rFonts w:asciiTheme="minorHAnsi" w:hAnsiTheme="minorHAnsi" w:cstheme="minorHAnsi"/>
                <w:b/>
                <w:szCs w:val="22"/>
              </w:rPr>
              <w:t>A2 (F2)</w:t>
            </w:r>
          </w:p>
        </w:tc>
        <w:tc>
          <w:tcPr>
            <w:tcW w:w="7364" w:type="dxa"/>
          </w:tcPr>
          <w:p w14:paraId="693E6395" w14:textId="77777777" w:rsidR="00D94B6C" w:rsidRPr="007B69AA" w:rsidRDefault="00D94B6C" w:rsidP="003D0790">
            <w:pPr>
              <w:pStyle w:val="BodyText"/>
              <w:ind w:left="107"/>
              <w:rPr>
                <w:rFonts w:asciiTheme="minorHAnsi" w:hAnsiTheme="minorHAnsi" w:cstheme="minorHAnsi"/>
                <w:szCs w:val="22"/>
              </w:rPr>
            </w:pPr>
            <w:r w:rsidRPr="007B69AA">
              <w:rPr>
                <w:rFonts w:asciiTheme="minorHAnsi" w:hAnsiTheme="minorHAnsi" w:cstheme="minorHAnsi"/>
                <w:szCs w:val="22"/>
              </w:rPr>
              <w:t xml:space="preserve">Strong, a satisfactory capacity for timely payment </w:t>
            </w:r>
          </w:p>
        </w:tc>
      </w:tr>
    </w:tbl>
    <w:p w14:paraId="4309B298" w14:textId="77777777" w:rsidR="00D94B6C" w:rsidRPr="007B69AA" w:rsidRDefault="00D94B6C" w:rsidP="00D94B6C">
      <w:pPr>
        <w:pStyle w:val="BodyText"/>
        <w:spacing w:before="240"/>
        <w:ind w:left="0"/>
        <w:rPr>
          <w:rFonts w:asciiTheme="minorHAnsi" w:hAnsiTheme="minorHAnsi" w:cstheme="minorHAnsi"/>
          <w:szCs w:val="22"/>
        </w:rPr>
      </w:pPr>
      <w:r w:rsidRPr="007B69AA">
        <w:rPr>
          <w:rFonts w:asciiTheme="minorHAnsi" w:hAnsiTheme="minorHAnsi" w:cstheme="minorHAnsi"/>
          <w:szCs w:val="22"/>
        </w:rPr>
        <w:t xml:space="preserve">The long term ratings as defined by Standard &amp; </w:t>
      </w:r>
      <w:proofErr w:type="spellStart"/>
      <w:r w:rsidRPr="007B69AA">
        <w:rPr>
          <w:rFonts w:asciiTheme="minorHAnsi" w:hAnsiTheme="minorHAnsi" w:cstheme="minorHAnsi"/>
          <w:szCs w:val="22"/>
        </w:rPr>
        <w:t>Poors</w:t>
      </w:r>
      <w:proofErr w:type="spellEnd"/>
      <w:r w:rsidRPr="007B69AA">
        <w:rPr>
          <w:rFonts w:asciiTheme="minorHAnsi" w:hAnsiTheme="minorHAnsi" w:cstheme="minorHAnsi"/>
          <w:szCs w:val="22"/>
        </w:rPr>
        <w:t xml:space="preserve"> and Fitch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7092"/>
      </w:tblGrid>
      <w:tr w:rsidR="00D94B6C" w:rsidRPr="007B69AA" w14:paraId="332F32B4" w14:textId="77777777" w:rsidTr="003D0790">
        <w:tc>
          <w:tcPr>
            <w:tcW w:w="1843" w:type="dxa"/>
          </w:tcPr>
          <w:p w14:paraId="661551E0" w14:textId="77777777" w:rsidR="00D94B6C" w:rsidRPr="007B69AA" w:rsidRDefault="00D94B6C" w:rsidP="003D0790">
            <w:pPr>
              <w:spacing w:line="240" w:lineRule="auto"/>
              <w:jc w:val="both"/>
              <w:rPr>
                <w:rFonts w:cstheme="minorHAnsi"/>
                <w:b/>
              </w:rPr>
            </w:pPr>
            <w:r w:rsidRPr="007B69AA">
              <w:rPr>
                <w:rFonts w:cstheme="minorHAnsi"/>
                <w:b/>
              </w:rPr>
              <w:t xml:space="preserve">AAA </w:t>
            </w:r>
          </w:p>
        </w:tc>
        <w:tc>
          <w:tcPr>
            <w:tcW w:w="7229" w:type="dxa"/>
          </w:tcPr>
          <w:p w14:paraId="5AF2E45A" w14:textId="77777777" w:rsidR="00D94B6C" w:rsidRPr="007B69AA" w:rsidRDefault="00D94B6C" w:rsidP="003D0790">
            <w:pPr>
              <w:spacing w:after="0" w:line="240" w:lineRule="auto"/>
              <w:jc w:val="both"/>
              <w:rPr>
                <w:rFonts w:cstheme="minorHAnsi"/>
              </w:rPr>
            </w:pPr>
            <w:r w:rsidRPr="007B69AA">
              <w:rPr>
                <w:rFonts w:cstheme="minorHAnsi"/>
              </w:rPr>
              <w:t>Highest quality, an extremely strong capacity to repay</w:t>
            </w:r>
          </w:p>
        </w:tc>
      </w:tr>
      <w:tr w:rsidR="00D94B6C" w:rsidRPr="007B69AA" w14:paraId="11BD3E61" w14:textId="77777777" w:rsidTr="003D0790">
        <w:trPr>
          <w:trHeight w:val="354"/>
        </w:trPr>
        <w:tc>
          <w:tcPr>
            <w:tcW w:w="1843" w:type="dxa"/>
          </w:tcPr>
          <w:p w14:paraId="34B8ED59" w14:textId="77777777" w:rsidR="00D94B6C" w:rsidRPr="007B69AA" w:rsidRDefault="00D94B6C" w:rsidP="003D0790">
            <w:pPr>
              <w:spacing w:line="240" w:lineRule="auto"/>
              <w:jc w:val="both"/>
              <w:rPr>
                <w:rFonts w:cstheme="minorHAnsi"/>
                <w:b/>
              </w:rPr>
            </w:pPr>
            <w:r w:rsidRPr="007B69AA">
              <w:rPr>
                <w:rFonts w:cstheme="minorHAnsi"/>
                <w:b/>
              </w:rPr>
              <w:t>AA+ to AA-</w:t>
            </w:r>
          </w:p>
        </w:tc>
        <w:tc>
          <w:tcPr>
            <w:tcW w:w="7229" w:type="dxa"/>
          </w:tcPr>
          <w:p w14:paraId="35762D86" w14:textId="77777777" w:rsidR="00D94B6C" w:rsidRPr="007B69AA" w:rsidRDefault="00D94B6C" w:rsidP="003D0790">
            <w:pPr>
              <w:spacing w:after="0" w:line="240" w:lineRule="auto"/>
              <w:jc w:val="both"/>
              <w:rPr>
                <w:rFonts w:cstheme="minorHAnsi"/>
              </w:rPr>
            </w:pPr>
            <w:r w:rsidRPr="007B69AA">
              <w:rPr>
                <w:rFonts w:cstheme="minorHAnsi"/>
              </w:rPr>
              <w:t>High quality, a very strong capacity to repay</w:t>
            </w:r>
          </w:p>
        </w:tc>
      </w:tr>
      <w:tr w:rsidR="00D94B6C" w:rsidRPr="007B69AA" w14:paraId="2B005076" w14:textId="77777777" w:rsidTr="003D0790">
        <w:trPr>
          <w:trHeight w:val="319"/>
        </w:trPr>
        <w:tc>
          <w:tcPr>
            <w:tcW w:w="1843" w:type="dxa"/>
          </w:tcPr>
          <w:p w14:paraId="240EDAC5" w14:textId="77777777" w:rsidR="00D94B6C" w:rsidRPr="007B69AA" w:rsidRDefault="00D94B6C" w:rsidP="003D0790">
            <w:pPr>
              <w:spacing w:line="240" w:lineRule="auto"/>
              <w:jc w:val="both"/>
              <w:rPr>
                <w:rFonts w:cstheme="minorHAnsi"/>
                <w:b/>
              </w:rPr>
            </w:pPr>
            <w:r w:rsidRPr="007B69AA">
              <w:rPr>
                <w:rFonts w:cstheme="minorHAnsi"/>
                <w:b/>
              </w:rPr>
              <w:t>A+ to A-</w:t>
            </w:r>
          </w:p>
        </w:tc>
        <w:tc>
          <w:tcPr>
            <w:tcW w:w="7229" w:type="dxa"/>
          </w:tcPr>
          <w:p w14:paraId="68EB6EA3" w14:textId="77777777" w:rsidR="00D94B6C" w:rsidRPr="007B69AA" w:rsidRDefault="00D94B6C" w:rsidP="003D0790">
            <w:pPr>
              <w:spacing w:after="0" w:line="240" w:lineRule="auto"/>
              <w:jc w:val="both"/>
              <w:rPr>
                <w:rFonts w:cstheme="minorHAnsi"/>
              </w:rPr>
            </w:pPr>
            <w:r w:rsidRPr="007B69AA">
              <w:rPr>
                <w:rFonts w:cstheme="minorHAnsi"/>
              </w:rPr>
              <w:t>Above average quality, a strong capacity to repay</w:t>
            </w:r>
          </w:p>
        </w:tc>
      </w:tr>
    </w:tbl>
    <w:p w14:paraId="461B9243" w14:textId="77777777" w:rsidR="00D94B6C" w:rsidRPr="007B69AA" w:rsidRDefault="00D94B6C" w:rsidP="00D94B6C">
      <w:pPr>
        <w:ind w:left="1080" w:hanging="720"/>
        <w:jc w:val="both"/>
        <w:rPr>
          <w:rFonts w:cstheme="minorHAnsi"/>
        </w:rPr>
      </w:pPr>
    </w:p>
    <w:p w14:paraId="2AC6F48D" w14:textId="77777777" w:rsidR="00D94B6C" w:rsidRPr="007B69AA" w:rsidRDefault="00D94B6C" w:rsidP="00D94B6C">
      <w:pPr>
        <w:pStyle w:val="Default"/>
        <w:spacing w:after="120"/>
        <w:jc w:val="both"/>
        <w:rPr>
          <w:rFonts w:asciiTheme="minorHAnsi" w:hAnsiTheme="minorHAnsi" w:cstheme="minorHAnsi"/>
          <w:sz w:val="22"/>
          <w:szCs w:val="22"/>
        </w:rPr>
      </w:pPr>
    </w:p>
    <w:p w14:paraId="2DA08164" w14:textId="77777777" w:rsidR="00D94B6C" w:rsidRPr="007B69AA" w:rsidRDefault="00D94B6C" w:rsidP="00D94B6C">
      <w:pPr>
        <w:pStyle w:val="Default"/>
        <w:spacing w:after="120"/>
        <w:jc w:val="both"/>
        <w:rPr>
          <w:rFonts w:asciiTheme="minorHAnsi" w:hAnsiTheme="minorHAnsi" w:cstheme="minorHAnsi"/>
          <w:sz w:val="22"/>
          <w:szCs w:val="22"/>
        </w:rPr>
      </w:pPr>
    </w:p>
    <w:tbl>
      <w:tblPr>
        <w:tblStyle w:val="TableGrid"/>
        <w:tblW w:w="0" w:type="auto"/>
        <w:tblInd w:w="108" w:type="dxa"/>
        <w:tblLook w:val="04A0" w:firstRow="1" w:lastRow="0" w:firstColumn="1" w:lastColumn="0" w:noHBand="0" w:noVBand="1"/>
      </w:tblPr>
      <w:tblGrid>
        <w:gridCol w:w="3082"/>
        <w:gridCol w:w="5826"/>
      </w:tblGrid>
      <w:tr w:rsidR="00D94B6C" w:rsidRPr="007B69AA" w14:paraId="76B8C69E" w14:textId="77777777" w:rsidTr="003D0790">
        <w:tc>
          <w:tcPr>
            <w:tcW w:w="3119" w:type="dxa"/>
          </w:tcPr>
          <w:p w14:paraId="0190ADB4" w14:textId="77777777" w:rsidR="00D94B6C" w:rsidRPr="007B69AA" w:rsidRDefault="00D94B6C" w:rsidP="00D94B6C">
            <w:pPr>
              <w:spacing w:after="0"/>
              <w:jc w:val="both"/>
              <w:rPr>
                <w:rFonts w:cstheme="minorHAnsi"/>
                <w:b/>
                <w:lang w:val="en-US"/>
              </w:rPr>
            </w:pPr>
            <w:r w:rsidRPr="007B69AA">
              <w:rPr>
                <w:rFonts w:cstheme="minorHAnsi"/>
                <w:b/>
                <w:lang w:val="en-US"/>
              </w:rPr>
              <w:t>Responsible Directorate:</w:t>
            </w:r>
          </w:p>
        </w:tc>
        <w:tc>
          <w:tcPr>
            <w:tcW w:w="6015" w:type="dxa"/>
          </w:tcPr>
          <w:p w14:paraId="266473BC" w14:textId="77777777" w:rsidR="00D94B6C" w:rsidRPr="007B69AA" w:rsidRDefault="00D94B6C" w:rsidP="00D94B6C">
            <w:pPr>
              <w:spacing w:after="0"/>
              <w:jc w:val="both"/>
              <w:rPr>
                <w:rFonts w:cstheme="minorHAnsi"/>
                <w:lang w:val="en-US"/>
              </w:rPr>
            </w:pPr>
            <w:r>
              <w:rPr>
                <w:rFonts w:cstheme="minorHAnsi"/>
                <w:lang w:val="en-US"/>
              </w:rPr>
              <w:t>Corporate Services</w:t>
            </w:r>
          </w:p>
        </w:tc>
      </w:tr>
      <w:tr w:rsidR="00D94B6C" w:rsidRPr="007B69AA" w14:paraId="403321AB" w14:textId="77777777" w:rsidTr="003D0790">
        <w:tc>
          <w:tcPr>
            <w:tcW w:w="3119" w:type="dxa"/>
          </w:tcPr>
          <w:p w14:paraId="29A88024" w14:textId="77777777" w:rsidR="00D94B6C" w:rsidRPr="007B69AA" w:rsidRDefault="00D94B6C" w:rsidP="00D94B6C">
            <w:pPr>
              <w:spacing w:after="0"/>
              <w:jc w:val="both"/>
              <w:rPr>
                <w:rFonts w:cstheme="minorHAnsi"/>
                <w:b/>
                <w:lang w:val="en-US"/>
              </w:rPr>
            </w:pPr>
            <w:r w:rsidRPr="007B69AA">
              <w:rPr>
                <w:rFonts w:cstheme="minorHAnsi"/>
                <w:b/>
                <w:lang w:val="en-US"/>
              </w:rPr>
              <w:t>Reviewing Officer:</w:t>
            </w:r>
          </w:p>
        </w:tc>
        <w:tc>
          <w:tcPr>
            <w:tcW w:w="6015" w:type="dxa"/>
          </w:tcPr>
          <w:p w14:paraId="4048B421" w14:textId="77777777" w:rsidR="00D94B6C" w:rsidRPr="007B69AA" w:rsidRDefault="00D94B6C" w:rsidP="00D94B6C">
            <w:pPr>
              <w:spacing w:after="0"/>
              <w:jc w:val="both"/>
              <w:rPr>
                <w:rFonts w:cstheme="minorHAnsi"/>
                <w:lang w:val="en-US"/>
              </w:rPr>
            </w:pPr>
            <w:r>
              <w:rPr>
                <w:rFonts w:cstheme="minorHAnsi"/>
                <w:lang w:val="en-US"/>
              </w:rPr>
              <w:t>Executive Manager Corporate Services</w:t>
            </w:r>
          </w:p>
        </w:tc>
      </w:tr>
      <w:tr w:rsidR="00D94B6C" w:rsidRPr="007B69AA" w14:paraId="00EF946C" w14:textId="77777777" w:rsidTr="003D0790">
        <w:tc>
          <w:tcPr>
            <w:tcW w:w="3119" w:type="dxa"/>
          </w:tcPr>
          <w:p w14:paraId="049F6222" w14:textId="77777777" w:rsidR="00D94B6C" w:rsidRPr="007B69AA" w:rsidRDefault="00D94B6C" w:rsidP="00D94B6C">
            <w:pPr>
              <w:spacing w:after="0"/>
              <w:jc w:val="both"/>
              <w:rPr>
                <w:rFonts w:cstheme="minorHAnsi"/>
                <w:b/>
                <w:lang w:val="en-US"/>
              </w:rPr>
            </w:pPr>
            <w:r w:rsidRPr="007B69AA">
              <w:rPr>
                <w:rFonts w:cstheme="minorHAnsi"/>
                <w:b/>
                <w:lang w:val="en-US"/>
              </w:rPr>
              <w:t>Decision making Authority:</w:t>
            </w:r>
          </w:p>
        </w:tc>
        <w:tc>
          <w:tcPr>
            <w:tcW w:w="6015" w:type="dxa"/>
          </w:tcPr>
          <w:p w14:paraId="718470FD" w14:textId="77777777" w:rsidR="00D94B6C" w:rsidRPr="007B69AA" w:rsidRDefault="00D94B6C" w:rsidP="00D94B6C">
            <w:pPr>
              <w:spacing w:after="0"/>
              <w:jc w:val="both"/>
              <w:rPr>
                <w:rFonts w:cstheme="minorHAnsi"/>
                <w:lang w:val="en-US"/>
              </w:rPr>
            </w:pPr>
            <w:r w:rsidRPr="007B69AA">
              <w:rPr>
                <w:rFonts w:cstheme="minorHAnsi"/>
                <w:lang w:val="en-US"/>
              </w:rPr>
              <w:t>Council</w:t>
            </w:r>
          </w:p>
        </w:tc>
      </w:tr>
      <w:tr w:rsidR="00D94B6C" w:rsidRPr="007B69AA" w14:paraId="60C78C25" w14:textId="77777777" w:rsidTr="003D0790">
        <w:tc>
          <w:tcPr>
            <w:tcW w:w="3119" w:type="dxa"/>
          </w:tcPr>
          <w:p w14:paraId="021DA61D" w14:textId="77777777" w:rsidR="00D94B6C" w:rsidRPr="007B69AA" w:rsidRDefault="00D94B6C" w:rsidP="00D94B6C">
            <w:pPr>
              <w:spacing w:after="0"/>
              <w:jc w:val="both"/>
              <w:rPr>
                <w:rFonts w:cstheme="minorHAnsi"/>
                <w:b/>
                <w:lang w:val="en-US"/>
              </w:rPr>
            </w:pPr>
            <w:r w:rsidRPr="007B69AA">
              <w:rPr>
                <w:rFonts w:cstheme="minorHAnsi"/>
                <w:b/>
                <w:lang w:val="en-US"/>
              </w:rPr>
              <w:t>Policy Adopted:</w:t>
            </w:r>
          </w:p>
        </w:tc>
        <w:tc>
          <w:tcPr>
            <w:tcW w:w="6015" w:type="dxa"/>
          </w:tcPr>
          <w:p w14:paraId="467A66D3" w14:textId="77777777" w:rsidR="00D94B6C" w:rsidRPr="007B69AA" w:rsidRDefault="00D94B6C" w:rsidP="00D94B6C">
            <w:pPr>
              <w:spacing w:after="0"/>
              <w:jc w:val="both"/>
              <w:rPr>
                <w:rFonts w:cstheme="minorHAnsi"/>
                <w:lang w:val="en-US"/>
              </w:rPr>
            </w:pPr>
            <w:r w:rsidRPr="007B69AA">
              <w:rPr>
                <w:rFonts w:cstheme="minorHAnsi"/>
                <w:lang w:val="en-US"/>
              </w:rPr>
              <w:t>21</w:t>
            </w:r>
            <w:r>
              <w:rPr>
                <w:rFonts w:cstheme="minorHAnsi"/>
                <w:lang w:val="en-US"/>
              </w:rPr>
              <w:t>/06/16</w:t>
            </w:r>
          </w:p>
        </w:tc>
      </w:tr>
      <w:tr w:rsidR="00D94B6C" w:rsidRPr="007B69AA" w14:paraId="0EB32BE3" w14:textId="77777777" w:rsidTr="003D0790">
        <w:tc>
          <w:tcPr>
            <w:tcW w:w="3119" w:type="dxa"/>
          </w:tcPr>
          <w:p w14:paraId="625850B7" w14:textId="77777777" w:rsidR="00D94B6C" w:rsidRPr="007B69AA" w:rsidRDefault="00D94B6C" w:rsidP="00D94B6C">
            <w:pPr>
              <w:spacing w:after="0"/>
              <w:jc w:val="both"/>
              <w:rPr>
                <w:rFonts w:cstheme="minorHAnsi"/>
                <w:b/>
                <w:lang w:val="en-US"/>
              </w:rPr>
            </w:pPr>
            <w:r w:rsidRPr="007B69AA">
              <w:rPr>
                <w:rFonts w:cstheme="minorHAnsi"/>
                <w:b/>
                <w:lang w:val="en-US"/>
              </w:rPr>
              <w:t>Policy Amended</w:t>
            </w:r>
            <w:r>
              <w:rPr>
                <w:rFonts w:cstheme="minorHAnsi"/>
                <w:b/>
                <w:lang w:val="en-US"/>
              </w:rPr>
              <w:t>/Reviewed</w:t>
            </w:r>
            <w:r w:rsidRPr="007B69AA">
              <w:rPr>
                <w:rFonts w:cstheme="minorHAnsi"/>
                <w:b/>
                <w:lang w:val="en-US"/>
              </w:rPr>
              <w:t>:</w:t>
            </w:r>
          </w:p>
        </w:tc>
        <w:tc>
          <w:tcPr>
            <w:tcW w:w="6015" w:type="dxa"/>
          </w:tcPr>
          <w:p w14:paraId="711D5E2F" w14:textId="08753CE5" w:rsidR="00D94B6C" w:rsidRPr="007B69AA" w:rsidRDefault="00D94B6C" w:rsidP="00D94B6C">
            <w:pPr>
              <w:spacing w:after="0"/>
              <w:jc w:val="both"/>
              <w:rPr>
                <w:rFonts w:cstheme="minorHAnsi"/>
                <w:lang w:val="en-US"/>
              </w:rPr>
            </w:pPr>
            <w:r>
              <w:rPr>
                <w:rFonts w:cstheme="minorHAnsi"/>
                <w:lang w:val="en-US"/>
              </w:rPr>
              <w:t>17/9/19</w:t>
            </w:r>
            <w:r w:rsidR="00C35BB1">
              <w:rPr>
                <w:rFonts w:cstheme="minorHAnsi"/>
                <w:lang w:val="en-US"/>
              </w:rPr>
              <w:t>, 17/3/20</w:t>
            </w:r>
            <w:r w:rsidR="00B91CAC">
              <w:rPr>
                <w:rFonts w:cstheme="minorHAnsi"/>
                <w:lang w:val="en-US"/>
              </w:rPr>
              <w:t>, 15/3/22</w:t>
            </w:r>
            <w:r w:rsidR="00CC59CF">
              <w:rPr>
                <w:rFonts w:cstheme="minorHAnsi"/>
                <w:lang w:val="en-US"/>
              </w:rPr>
              <w:t xml:space="preserve">, </w:t>
            </w:r>
            <w:r w:rsidR="0042552C">
              <w:rPr>
                <w:rFonts w:cstheme="minorHAnsi"/>
                <w:lang w:val="en-US"/>
              </w:rPr>
              <w:t>9/12</w:t>
            </w:r>
            <w:r w:rsidR="00CC59CF">
              <w:rPr>
                <w:rFonts w:cstheme="minorHAnsi"/>
                <w:lang w:val="en-US"/>
              </w:rPr>
              <w:t>/25</w:t>
            </w:r>
          </w:p>
        </w:tc>
      </w:tr>
      <w:tr w:rsidR="00D94B6C" w:rsidRPr="007B69AA" w14:paraId="10818548" w14:textId="77777777" w:rsidTr="003D0790">
        <w:tc>
          <w:tcPr>
            <w:tcW w:w="3119" w:type="dxa"/>
          </w:tcPr>
          <w:p w14:paraId="0AA74BDB" w14:textId="77777777" w:rsidR="00D94B6C" w:rsidRPr="007B69AA" w:rsidRDefault="00D94B6C" w:rsidP="00D94B6C">
            <w:pPr>
              <w:spacing w:after="0"/>
              <w:jc w:val="both"/>
              <w:rPr>
                <w:rFonts w:cstheme="minorHAnsi"/>
                <w:b/>
                <w:lang w:val="en-US"/>
              </w:rPr>
            </w:pPr>
            <w:r>
              <w:rPr>
                <w:rFonts w:cstheme="minorHAnsi"/>
                <w:b/>
                <w:lang w:val="en-US"/>
              </w:rPr>
              <w:t>Former Policy No</w:t>
            </w:r>
            <w:r w:rsidRPr="007B69AA">
              <w:rPr>
                <w:rFonts w:cstheme="minorHAnsi"/>
                <w:b/>
                <w:lang w:val="en-US"/>
              </w:rPr>
              <w:t>:</w:t>
            </w:r>
          </w:p>
        </w:tc>
        <w:tc>
          <w:tcPr>
            <w:tcW w:w="6015" w:type="dxa"/>
          </w:tcPr>
          <w:p w14:paraId="4F15C05D" w14:textId="77777777" w:rsidR="00D94B6C" w:rsidRPr="007B69AA" w:rsidRDefault="00D94B6C" w:rsidP="00D94B6C">
            <w:pPr>
              <w:spacing w:after="0"/>
              <w:jc w:val="both"/>
              <w:rPr>
                <w:rFonts w:cstheme="minorHAnsi"/>
                <w:lang w:val="en-US"/>
              </w:rPr>
            </w:pPr>
            <w:r>
              <w:rPr>
                <w:rFonts w:cstheme="minorHAnsi"/>
                <w:lang w:val="en-US"/>
              </w:rPr>
              <w:t>4.2.3</w:t>
            </w:r>
          </w:p>
        </w:tc>
      </w:tr>
    </w:tbl>
    <w:p w14:paraId="53E2D84C" w14:textId="77777777" w:rsidR="00D94B6C" w:rsidRPr="007B69AA" w:rsidRDefault="00D94B6C" w:rsidP="00D94B6C">
      <w:pPr>
        <w:jc w:val="both"/>
        <w:rPr>
          <w:rFonts w:cstheme="minorHAnsi"/>
          <w:lang w:val="en-US"/>
        </w:rPr>
      </w:pPr>
    </w:p>
    <w:p w14:paraId="4090BDD7" w14:textId="77777777" w:rsidR="00D94B6C" w:rsidRPr="00D56721" w:rsidRDefault="00D94B6C" w:rsidP="00D94B6C">
      <w:pPr>
        <w:jc w:val="both"/>
        <w:rPr>
          <w:rFonts w:cstheme="minorHAnsi"/>
          <w:lang w:val="en-US"/>
        </w:rPr>
      </w:pPr>
    </w:p>
    <w:p w14:paraId="0BCFBFF8" w14:textId="77777777" w:rsidR="009E4EE7" w:rsidRDefault="009E4EE7"/>
    <w:sectPr w:rsidR="009E4E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AFE"/>
    <w:multiLevelType w:val="hybridMultilevel"/>
    <w:tmpl w:val="1458BD26"/>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 w15:restartNumberingAfterBreak="0">
    <w:nsid w:val="1BA706C7"/>
    <w:multiLevelType w:val="hybridMultilevel"/>
    <w:tmpl w:val="7C38E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914DC2"/>
    <w:multiLevelType w:val="hybridMultilevel"/>
    <w:tmpl w:val="5198B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3C23805"/>
    <w:multiLevelType w:val="hybridMultilevel"/>
    <w:tmpl w:val="A17C79CC"/>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num w:numId="1" w16cid:durableId="1625454982">
    <w:abstractNumId w:val="2"/>
  </w:num>
  <w:num w:numId="2" w16cid:durableId="1010184849">
    <w:abstractNumId w:val="0"/>
  </w:num>
  <w:num w:numId="3" w16cid:durableId="1633822880">
    <w:abstractNumId w:val="3"/>
  </w:num>
  <w:num w:numId="4" w16cid:durableId="870990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6C"/>
    <w:rsid w:val="0000361B"/>
    <w:rsid w:val="0001763A"/>
    <w:rsid w:val="000B06C5"/>
    <w:rsid w:val="000B720F"/>
    <w:rsid w:val="000C5262"/>
    <w:rsid w:val="00171BF8"/>
    <w:rsid w:val="001A54BB"/>
    <w:rsid w:val="001F37F0"/>
    <w:rsid w:val="00214D41"/>
    <w:rsid w:val="00215EF8"/>
    <w:rsid w:val="00230E2E"/>
    <w:rsid w:val="002716A4"/>
    <w:rsid w:val="002B3B9B"/>
    <w:rsid w:val="00306177"/>
    <w:rsid w:val="0035123C"/>
    <w:rsid w:val="003F243B"/>
    <w:rsid w:val="0042552C"/>
    <w:rsid w:val="004C4BA4"/>
    <w:rsid w:val="00594ACE"/>
    <w:rsid w:val="00675EEA"/>
    <w:rsid w:val="006A7D5B"/>
    <w:rsid w:val="00794937"/>
    <w:rsid w:val="007A07D0"/>
    <w:rsid w:val="007B1119"/>
    <w:rsid w:val="007B25C8"/>
    <w:rsid w:val="00820675"/>
    <w:rsid w:val="008A6A87"/>
    <w:rsid w:val="008D5ACA"/>
    <w:rsid w:val="009C1A8D"/>
    <w:rsid w:val="009C5504"/>
    <w:rsid w:val="009E4EE7"/>
    <w:rsid w:val="00A0055D"/>
    <w:rsid w:val="00A02F1F"/>
    <w:rsid w:val="00A75654"/>
    <w:rsid w:val="00A80F99"/>
    <w:rsid w:val="00A97DD8"/>
    <w:rsid w:val="00B34DC9"/>
    <w:rsid w:val="00B40A72"/>
    <w:rsid w:val="00B91CAC"/>
    <w:rsid w:val="00BC6DEA"/>
    <w:rsid w:val="00C35BB1"/>
    <w:rsid w:val="00CC59CF"/>
    <w:rsid w:val="00CC61B2"/>
    <w:rsid w:val="00CD49F2"/>
    <w:rsid w:val="00D94B6C"/>
    <w:rsid w:val="00E24888"/>
    <w:rsid w:val="00E4452B"/>
    <w:rsid w:val="00F02656"/>
    <w:rsid w:val="00F63AB7"/>
    <w:rsid w:val="00FA1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A9FE"/>
  <w15:chartTrackingRefBased/>
  <w15:docId w15:val="{194FD008-3260-40EE-9110-4121FBBA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B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4B6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94B6C"/>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D94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4B6C"/>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qFormat/>
    <w:rsid w:val="00D94B6C"/>
    <w:pPr>
      <w:spacing w:after="120" w:line="240" w:lineRule="auto"/>
      <w:ind w:left="720"/>
    </w:pPr>
    <w:rPr>
      <w:rFonts w:ascii="Arial" w:eastAsia="Times New Roman" w:hAnsi="Arial" w:cs="Times New Roman"/>
      <w:szCs w:val="20"/>
      <w:lang w:val="en-US"/>
    </w:rPr>
  </w:style>
  <w:style w:type="character" w:customStyle="1" w:styleId="BodyTextChar">
    <w:name w:val="Body Text Char"/>
    <w:basedOn w:val="DefaultParagraphFont"/>
    <w:link w:val="BodyText"/>
    <w:rsid w:val="00D94B6C"/>
    <w:rPr>
      <w:rFonts w:ascii="Arial" w:eastAsia="Times New Roman" w:hAnsi="Arial" w:cs="Times New Roman"/>
      <w:szCs w:val="20"/>
      <w:lang w:val="en-US"/>
    </w:rPr>
  </w:style>
  <w:style w:type="paragraph" w:customStyle="1" w:styleId="Policy3">
    <w:name w:val="Policy 3"/>
    <w:basedOn w:val="Title"/>
    <w:link w:val="Policy3Char"/>
    <w:qFormat/>
    <w:rsid w:val="00D94B6C"/>
    <w:pPr>
      <w:pBdr>
        <w:bottom w:val="none" w:sz="0" w:space="0" w:color="auto"/>
      </w:pBdr>
      <w:spacing w:after="240"/>
      <w:ind w:left="1134" w:hanging="1134"/>
    </w:pPr>
    <w:rPr>
      <w:rFonts w:cstheme="minorHAnsi"/>
      <w:b/>
      <w:sz w:val="28"/>
      <w:lang w:val="en-US"/>
    </w:rPr>
  </w:style>
  <w:style w:type="character" w:customStyle="1" w:styleId="Policy3Char">
    <w:name w:val="Policy 3 Char"/>
    <w:basedOn w:val="TitleChar"/>
    <w:link w:val="Policy3"/>
    <w:rsid w:val="00D94B6C"/>
    <w:rPr>
      <w:rFonts w:asciiTheme="majorHAnsi" w:eastAsiaTheme="majorEastAsia" w:hAnsiTheme="majorHAnsi" w:cstheme="minorHAnsi"/>
      <w:b/>
      <w:color w:val="323E4F" w:themeColor="text2" w:themeShade="BF"/>
      <w:spacing w:val="5"/>
      <w:kern w:val="28"/>
      <w:sz w:val="28"/>
      <w:szCs w:val="52"/>
      <w:lang w:val="en-US"/>
    </w:rPr>
  </w:style>
  <w:style w:type="paragraph" w:styleId="Revision">
    <w:name w:val="Revision"/>
    <w:hidden/>
    <w:uiPriority w:val="99"/>
    <w:semiHidden/>
    <w:rsid w:val="00306177"/>
    <w:pPr>
      <w:spacing w:after="0" w:line="240" w:lineRule="auto"/>
    </w:pPr>
  </w:style>
  <w:style w:type="character" w:styleId="CommentReference">
    <w:name w:val="annotation reference"/>
    <w:basedOn w:val="DefaultParagraphFont"/>
    <w:uiPriority w:val="99"/>
    <w:semiHidden/>
    <w:unhideWhenUsed/>
    <w:rsid w:val="00794937"/>
    <w:rPr>
      <w:sz w:val="16"/>
      <w:szCs w:val="16"/>
    </w:rPr>
  </w:style>
  <w:style w:type="paragraph" w:styleId="CommentText">
    <w:name w:val="annotation text"/>
    <w:basedOn w:val="Normal"/>
    <w:link w:val="CommentTextChar"/>
    <w:uiPriority w:val="99"/>
    <w:unhideWhenUsed/>
    <w:rsid w:val="00794937"/>
    <w:pPr>
      <w:spacing w:line="240" w:lineRule="auto"/>
    </w:pPr>
    <w:rPr>
      <w:sz w:val="20"/>
      <w:szCs w:val="20"/>
    </w:rPr>
  </w:style>
  <w:style w:type="character" w:customStyle="1" w:styleId="CommentTextChar">
    <w:name w:val="Comment Text Char"/>
    <w:basedOn w:val="DefaultParagraphFont"/>
    <w:link w:val="CommentText"/>
    <w:uiPriority w:val="99"/>
    <w:rsid w:val="00794937"/>
    <w:rPr>
      <w:sz w:val="20"/>
      <w:szCs w:val="20"/>
    </w:rPr>
  </w:style>
  <w:style w:type="paragraph" w:styleId="CommentSubject">
    <w:name w:val="annotation subject"/>
    <w:basedOn w:val="CommentText"/>
    <w:next w:val="CommentText"/>
    <w:link w:val="CommentSubjectChar"/>
    <w:uiPriority w:val="99"/>
    <w:semiHidden/>
    <w:unhideWhenUsed/>
    <w:rsid w:val="00794937"/>
    <w:rPr>
      <w:b/>
      <w:bCs/>
    </w:rPr>
  </w:style>
  <w:style w:type="character" w:customStyle="1" w:styleId="CommentSubjectChar">
    <w:name w:val="Comment Subject Char"/>
    <w:basedOn w:val="CommentTextChar"/>
    <w:link w:val="CommentSubject"/>
    <w:uiPriority w:val="99"/>
    <w:semiHidden/>
    <w:rsid w:val="007949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eport" ma:contentTypeID="0x0101004D8862F3B8262B49A45159E380CD35270200D823A04833E5B74AA6643A5F4BA26358" ma:contentTypeVersion="48" ma:contentTypeDescription="" ma:contentTypeScope="" ma:versionID="c26dcc0911e8308f662b561502734730">
  <xsd:schema xmlns:xsd="http://www.w3.org/2001/XMLSchema" xmlns:xs="http://www.w3.org/2001/XMLSchema" xmlns:p="http://schemas.microsoft.com/office/2006/metadata/properties" xmlns:ns2="ba14b63d-40f7-469f-bbf4-3eb4bb4bac49" xmlns:ns3="73282c38-3a53-4356-9321-a24e56b2d984" targetNamespace="http://schemas.microsoft.com/office/2006/metadata/properties" ma:root="true" ma:fieldsID="6edeb1bf7bd3c5e0b49fe7476e0f7dbc" ns2:_="" ns3:_="">
    <xsd:import namespace="ba14b63d-40f7-469f-bbf4-3eb4bb4bac49"/>
    <xsd:import namespace="73282c38-3a53-4356-9321-a24e56b2d984"/>
    <xsd:element name="properties">
      <xsd:complexType>
        <xsd:sequence>
          <xsd:element name="documentManagement">
            <xsd:complexType>
              <xsd:all>
                <xsd:element ref="ns2:_dlc_DocId" minOccurs="0"/>
                <xsd:element ref="ns2:_dlc_DocIdUrl" minOccurs="0"/>
                <xsd:element ref="ns2:_dlc_DocIdPersistId" minOccurs="0"/>
                <xsd:element ref="ns2:Entity" minOccurs="0"/>
                <xsd:element ref="ns2:Site" minOccurs="0"/>
                <xsd:element ref="ns2:Library" minOccurs="0"/>
                <xsd:element ref="ns2:Document_x0020_Set_x0020_Status" minOccurs="0"/>
                <xsd:element ref="ns2:Report_x0020_Reference_x0020_Number" minOccurs="0"/>
                <xsd:element ref="ns2:Report_x0020_Status" minOccurs="0"/>
                <xsd:element ref="ns2:Meeting_x0020_Date" minOccurs="0"/>
                <xsd:element ref="ns2:SharedWithUsers" minOccurs="0"/>
                <xsd:element ref="ns2:SharedWithDetails" minOccurs="0"/>
                <xsd:element ref="ns3:version_x0020_check" minOccurs="0"/>
                <xsd:element ref="ns3:Report_x0020_Name" minOccurs="0"/>
                <xsd:element ref="ns3:Report_x0020_Classification"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4b63d-40f7-469f-bbf4-3eb4bb4bac4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ntity" ma:index="11" nillable="true" ma:displayName="Entity" ma:default="Town of East Fremantle" ma:internalName="Entity">
      <xsd:simpleType>
        <xsd:restriction base="dms:Text">
          <xsd:maxLength value="255"/>
        </xsd:restriction>
      </xsd:simpleType>
    </xsd:element>
    <xsd:element name="Site" ma:index="12" nillable="true" ma:displayName="Site" ma:default="Meetings &amp; Agendas" ma:internalName="Site">
      <xsd:simpleType>
        <xsd:restriction base="dms:Text">
          <xsd:maxLength value="255"/>
        </xsd:restriction>
      </xsd:simpleType>
    </xsd:element>
    <xsd:element name="Library" ma:index="13" nillable="true" ma:displayName="Library" ma:internalName="Library">
      <xsd:simpleType>
        <xsd:restriction base="dms:Text">
          <xsd:maxLength value="255"/>
        </xsd:restriction>
      </xsd:simpleType>
    </xsd:element>
    <xsd:element name="Document_x0020_Set_x0020_Status" ma:index="14" nillable="true" ma:displayName="Document Set Status" ma:default="Active" ma:format="Dropdown" ma:internalName="Document_x0020_Set_x0020_Status">
      <xsd:simpleType>
        <xsd:restriction base="dms:Choice">
          <xsd:enumeration value="Active"/>
          <xsd:enumeration value="Closed"/>
        </xsd:restriction>
      </xsd:simpleType>
    </xsd:element>
    <xsd:element name="Report_x0020_Reference_x0020_Number" ma:index="15" nillable="true" ma:displayName="Report Reference Number" ma:description="Unique number generated by Flow from the Document ID. Column applied to Document content types and displayed within Word documents as a Quick Parts Document Property.&#10;To ensure the reference number applied to a report is not overwritten when the report is inserted into a meeting Agenda document, this column must not be applied to Meeting libraries." ma:internalName="Report_x0020_Reference_x0020_Number">
      <xsd:simpleType>
        <xsd:restriction base="dms:Text">
          <xsd:maxLength value="255"/>
        </xsd:restriction>
      </xsd:simpleType>
    </xsd:element>
    <xsd:element name="Report_x0020_Status" ma:index="16" nillable="true" ma:displayName="Report Status" ma:default="Draft" ma:format="Dropdown" ma:internalName="Report_x0020_Status">
      <xsd:simpleType>
        <xsd:restriction base="dms:Choice">
          <xsd:enumeration value="Draft"/>
          <xsd:enumeration value="Review required"/>
          <xsd:enumeration value="Review completed"/>
          <xsd:enumeration value="Publishing approval required"/>
          <xsd:enumeration value="Approved for meeting agenda"/>
          <xsd:enumeration value="Cancelled"/>
          <xsd:enumeration value="Rejected"/>
        </xsd:restriction>
      </xsd:simpleType>
    </xsd:element>
    <xsd:element name="Meeting_x0020_Date" ma:index="17"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8ab6d70-845b-4440-87cd-7ab7943579f2}" ma:internalName="TaxCatchAll" ma:showField="CatchAllData" ma:web="ba14b63d-40f7-469f-bbf4-3eb4bb4ba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82c38-3a53-4356-9321-a24e56b2d984" elementFormDefault="qualified">
    <xsd:import namespace="http://schemas.microsoft.com/office/2006/documentManagement/types"/>
    <xsd:import namespace="http://schemas.microsoft.com/office/infopath/2007/PartnerControls"/>
    <xsd:element name="version_x0020_check" ma:index="20" nillable="true" ma:displayName="version check" ma:decimals="0" ma:default="0" ma:internalName="version_x0020_check">
      <xsd:simpleType>
        <xsd:restriction base="dms:Number">
          <xsd:minInclusive value="0"/>
        </xsd:restriction>
      </xsd:simpleType>
    </xsd:element>
    <xsd:element name="Report_x0020_Name" ma:index="21" nillable="true" ma:displayName="Report Name" ma:description="Set by Power Automate to match the docset name. Used as Quick Part in the report document template" ma:internalName="Report_x0020_Name">
      <xsd:simpleType>
        <xsd:restriction base="dms:Text">
          <xsd:maxLength value="255"/>
        </xsd:restriction>
      </xsd:simpleType>
    </xsd:element>
    <xsd:element name="Report_x0020_Classification" ma:index="22" nillable="true" ma:displayName="Report Classification" ma:default="PUBLIC" ma:format="Dropdown" ma:internalName="Report_x0020_Classification">
      <xsd:simpleType>
        <xsd:restriction base="dms:Choice">
          <xsd:enumeration value="PUBLIC"/>
          <xsd:enumeration value="CONFIDENTIAL"/>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b0bfb8-64c2-4148-a7e2-b7ef85a34a0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ntity xmlns="ba14b63d-40f7-469f-bbf4-3eb4bb4bac49">Town of East Fremantle</Entity>
    <Site xmlns="ba14b63d-40f7-469f-bbf4-3eb4bb4bac49">Meetings &amp; Agendas</Site>
    <Library xmlns="ba14b63d-40f7-469f-bbf4-3eb4bb4bac49">Audit Committee Reports</Library>
    <_dlc_DocId xmlns="ba14b63d-40f7-469f-bbf4-3eb4bb4bac49">UHVT5US3Z3UR-1722068337-875</_dlc_DocId>
    <_dlc_DocIdUrl xmlns="ba14b63d-40f7-469f-bbf4-3eb4bb4bac49">
      <Url>https://townofeastfremantle.sharepoint.com/sites/Meetings_Agendas/_layouts/15/DocIdRedir.aspx?ID=UHVT5US3Z3UR-1722068337-875</Url>
      <Description>UHVT5US3Z3UR-1722068337-875</Description>
    </_dlc_DocIdUrl>
    <Report_x0020_Name xmlns="73282c38-3a53-4356-9321-a24e56b2d984">2511 INFRINGEMENT POLICY REVIEW</Report_x0020_Name>
    <Document_x0020_Set_x0020_Status xmlns="ba14b63d-40f7-469f-bbf4-3eb4bb4bac49">Active</Document_x0020_Set_x0020_Status>
    <Meeting_x0020_Date xmlns="ba14b63d-40f7-469f-bbf4-3eb4bb4bac49">2025-11-25T16:00:00+00:00</Meeting_x0020_Date>
    <Report_x0020_Classification xmlns="73282c38-3a53-4356-9321-a24e56b2d984">PUBLIC</Report_x0020_Classification>
    <Report_x0020_Status xmlns="ba14b63d-40f7-469f-bbf4-3eb4bb4bac49">Draft</Report_x0020_Status>
    <Report_x0020_Reference_x0020_Number xmlns="ba14b63d-40f7-469f-bbf4-3eb4bb4bac49">ACR-864</Report_x0020_Reference_x0020_Number>
    <lcf76f155ced4ddcb4097134ff3c332f xmlns="73282c38-3a53-4356-9321-a24e56b2d984">
      <Terms xmlns="http://schemas.microsoft.com/office/infopath/2007/PartnerControls"/>
    </lcf76f155ced4ddcb4097134ff3c332f>
    <TaxCatchAll xmlns="ba14b63d-40f7-469f-bbf4-3eb4bb4bac49" xsi:nil="true"/>
    <version_x0020_check xmlns="73282c38-3a53-4356-9321-a24e56b2d984">0</version_x0020_chec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56515-9EAF-47FA-BD8F-861CDA5CE6C1}">
  <ds:schemaRefs>
    <ds:schemaRef ds:uri="http://schemas.microsoft.com/sharepoint/events"/>
  </ds:schemaRefs>
</ds:datastoreItem>
</file>

<file path=customXml/itemProps2.xml><?xml version="1.0" encoding="utf-8"?>
<ds:datastoreItem xmlns:ds="http://schemas.openxmlformats.org/officeDocument/2006/customXml" ds:itemID="{2FF4A999-E252-45B9-A7F6-75B2C8BEB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4b63d-40f7-469f-bbf4-3eb4bb4bac49"/>
    <ds:schemaRef ds:uri="73282c38-3a53-4356-9321-a24e56b2d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24F60-38CE-43C7-9809-200EEAA0377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ba14b63d-40f7-469f-bbf4-3eb4bb4bac49"/>
    <ds:schemaRef ds:uri="http://schemas.microsoft.com/office/infopath/2007/PartnerControls"/>
    <ds:schemaRef ds:uri="http://purl.org/dc/elements/1.1/"/>
    <ds:schemaRef ds:uri="73282c38-3a53-4356-9321-a24e56b2d984"/>
    <ds:schemaRef ds:uri="http://www.w3.org/XML/1998/namespace"/>
    <ds:schemaRef ds:uri="http://purl.org/dc/dcmitype/"/>
  </ds:schemaRefs>
</ds:datastoreItem>
</file>

<file path=customXml/itemProps4.xml><?xml version="1.0" encoding="utf-8"?>
<ds:datastoreItem xmlns:ds="http://schemas.openxmlformats.org/officeDocument/2006/customXml" ds:itemID="{BB527E16-6690-4F8C-A1FB-C53A5986F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Town of East Fremantle</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May</dc:creator>
  <cp:keywords/>
  <dc:description/>
  <cp:lastModifiedBy>Janine May</cp:lastModifiedBy>
  <cp:revision>2</cp:revision>
  <cp:lastPrinted>2025-11-18T01:41:00Z</cp:lastPrinted>
  <dcterms:created xsi:type="dcterms:W3CDTF">2025-12-17T02:44:00Z</dcterms:created>
  <dcterms:modified xsi:type="dcterms:W3CDTF">2025-12-17T02:44:00Z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K25106201</vt:lpwstr>
  </property>
  <property fmtid="{D5CDD505-2E9C-101B-9397-08002B2CF9AE}" pid="3" name="ContentTypeId">
    <vt:lpwstr>0x0101004D8862F3B8262B49A45159E380CD35270200D823A04833E5B74AA6643A5F4BA26358</vt:lpwstr>
  </property>
  <property fmtid="{D5CDD505-2E9C-101B-9397-08002B2CF9AE}" pid="4" name="_dlc_DocIdItemGuid">
    <vt:lpwstr>1a01d26d-472c-45cb-9daf-2092f293306c</vt:lpwstr>
  </property>
  <property fmtid="{D5CDD505-2E9C-101B-9397-08002B2CF9AE}" pid="5" name="document set status previous">
    <vt:lpwstr>Active</vt:lpwstr>
  </property>
  <property fmtid="{D5CDD505-2E9C-101B-9397-08002B2CF9AE}" pid="6" name="MediaServiceImageTags">
    <vt:lpwstr/>
  </property>
  <property fmtid="{D5CDD505-2E9C-101B-9397-08002B2CF9AE}" pid="7" name="report status previous">
    <vt:lpwstr>Draft</vt:lpwstr>
  </property>
  <property fmtid="{D5CDD505-2E9C-101B-9397-08002B2CF9AE}" pid="8" name="MSIP_Label_caf8df36-fa6b-45ec-80e8-b8894357d199_Enabled">
    <vt:lpwstr>true</vt:lpwstr>
  </property>
  <property fmtid="{D5CDD505-2E9C-101B-9397-08002B2CF9AE}" pid="9" name="MSIP_Label_caf8df36-fa6b-45ec-80e8-b8894357d199_SetDate">
    <vt:lpwstr>2025-11-04T08:02:25Z</vt:lpwstr>
  </property>
  <property fmtid="{D5CDD505-2E9C-101B-9397-08002B2CF9AE}" pid="10" name="MSIP_Label_caf8df36-fa6b-45ec-80e8-b8894357d199_Method">
    <vt:lpwstr>Standard</vt:lpwstr>
  </property>
  <property fmtid="{D5CDD505-2E9C-101B-9397-08002B2CF9AE}" pid="11" name="MSIP_Label_caf8df36-fa6b-45ec-80e8-b8894357d199_Name">
    <vt:lpwstr>Town of East Fremantle Document Label</vt:lpwstr>
  </property>
  <property fmtid="{D5CDD505-2E9C-101B-9397-08002B2CF9AE}" pid="12" name="MSIP_Label_caf8df36-fa6b-45ec-80e8-b8894357d199_SiteId">
    <vt:lpwstr>a8ba7fba-d310-4e46-b262-51843ee7de14</vt:lpwstr>
  </property>
  <property fmtid="{D5CDD505-2E9C-101B-9397-08002B2CF9AE}" pid="13" name="MSIP_Label_caf8df36-fa6b-45ec-80e8-b8894357d199_ActionId">
    <vt:lpwstr>390063b9-2378-4763-b235-6e29831546fc</vt:lpwstr>
  </property>
  <property fmtid="{D5CDD505-2E9C-101B-9397-08002B2CF9AE}" pid="14" name="MSIP_Label_caf8df36-fa6b-45ec-80e8-b8894357d199_ContentBits">
    <vt:lpwstr>0</vt:lpwstr>
  </property>
  <property fmtid="{D5CDD505-2E9C-101B-9397-08002B2CF9AE}" pid="15" name="MSIP_Label_caf8df36-fa6b-45ec-80e8-b8894357d199_Tag">
    <vt:lpwstr>10, 3, 0, 1</vt:lpwstr>
  </property>
</Properties>
</file>